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D71" w:rsidRDefault="00592D71" w:rsidP="00592D71">
      <w:pPr>
        <w:kinsoku w:val="0"/>
        <w:overflowPunct w:val="0"/>
        <w:autoSpaceDE/>
        <w:autoSpaceDN/>
        <w:adjustRightInd/>
        <w:spacing w:line="282" w:lineRule="exact"/>
        <w:jc w:val="center"/>
        <w:textAlignment w:val="baseline"/>
        <w:rPr>
          <w:b/>
          <w:bCs/>
          <w:sz w:val="26"/>
          <w:szCs w:val="26"/>
          <w:lang w:val="es-ES" w:eastAsia="es-ES"/>
        </w:rPr>
      </w:pPr>
      <w:r>
        <w:rPr>
          <w:b/>
          <w:bCs/>
          <w:sz w:val="26"/>
          <w:szCs w:val="26"/>
          <w:lang w:val="es-ES" w:eastAsia="es-ES"/>
        </w:rPr>
        <w:t>RESOLUCION No. TAT-2934-2016</w:t>
      </w:r>
    </w:p>
    <w:p w:rsidR="00592D71" w:rsidRDefault="00592D71" w:rsidP="00592D71">
      <w:pPr>
        <w:kinsoku w:val="0"/>
        <w:overflowPunct w:val="0"/>
        <w:autoSpaceDE/>
        <w:autoSpaceDN/>
        <w:adjustRightInd/>
        <w:spacing w:before="597" w:line="301" w:lineRule="exact"/>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10:22</w:t>
      </w:r>
    </w:p>
    <w:p w:rsidR="00592D71" w:rsidRDefault="00592D71" w:rsidP="00592D71">
      <w:pPr>
        <w:tabs>
          <w:tab w:val="right" w:leader="hyphen" w:pos="8928"/>
        </w:tabs>
        <w:kinsoku w:val="0"/>
        <w:overflowPunct w:val="0"/>
        <w:autoSpaceDE/>
        <w:autoSpaceDN/>
        <w:adjustRightInd/>
        <w:spacing w:before="2" w:line="301" w:lineRule="exact"/>
        <w:textAlignment w:val="baseline"/>
        <w:rPr>
          <w:sz w:val="26"/>
          <w:szCs w:val="26"/>
          <w:lang w:val="es-ES" w:eastAsia="es-ES"/>
        </w:rPr>
      </w:pPr>
      <w:r>
        <w:rPr>
          <w:sz w:val="26"/>
          <w:szCs w:val="26"/>
          <w:lang w:val="es-ES" w:eastAsia="es-ES"/>
        </w:rPr>
        <w:t>horas del día Veintinueve de Febrero del Dos Mil Dieciséis.</w:t>
      </w:r>
      <w:r>
        <w:rPr>
          <w:sz w:val="26"/>
          <w:szCs w:val="26"/>
          <w:lang w:val="es-ES" w:eastAsia="es-ES"/>
        </w:rPr>
        <w:tab/>
      </w:r>
    </w:p>
    <w:p w:rsidR="00592D71" w:rsidRDefault="00592D71" w:rsidP="00592D71">
      <w:pPr>
        <w:kinsoku w:val="0"/>
        <w:overflowPunct w:val="0"/>
        <w:autoSpaceDE/>
        <w:autoSpaceDN/>
        <w:adjustRightInd/>
        <w:spacing w:before="596" w:line="301" w:lineRule="exact"/>
        <w:jc w:val="both"/>
        <w:textAlignment w:val="baseline"/>
        <w:rPr>
          <w:sz w:val="24"/>
          <w:szCs w:val="24"/>
          <w:lang w:eastAsia="en-US"/>
        </w:rPr>
      </w:pPr>
      <w:r>
        <w:rPr>
          <w:sz w:val="26"/>
          <w:szCs w:val="26"/>
          <w:lang w:val="es-ES" w:eastAsia="es-ES"/>
        </w:rPr>
        <w:t xml:space="preserve">Se conoce por este medio de Recurso de Apelación en subsidio y de Incidente de Nulidad Absoluta concomitante interpuestos por el señor </w:t>
      </w:r>
      <w:r w:rsidR="006A5040">
        <w:rPr>
          <w:b/>
          <w:bCs/>
          <w:sz w:val="26"/>
          <w:szCs w:val="26"/>
          <w:lang w:val="es-ES" w:eastAsia="es-ES"/>
        </w:rPr>
        <w:t xml:space="preserve">JCMC, </w:t>
      </w:r>
      <w:r>
        <w:rPr>
          <w:sz w:val="26"/>
          <w:szCs w:val="26"/>
          <w:lang w:val="es-ES" w:eastAsia="es-ES"/>
        </w:rPr>
        <w:t xml:space="preserve">cédula de identidad número </w:t>
      </w:r>
      <w:r w:rsidR="006A5040">
        <w:rPr>
          <w:sz w:val="26"/>
          <w:szCs w:val="26"/>
          <w:lang w:val="es-ES" w:eastAsia="es-ES"/>
        </w:rPr>
        <w:t>….</w:t>
      </w:r>
      <w:r>
        <w:rPr>
          <w:sz w:val="26"/>
          <w:szCs w:val="26"/>
          <w:lang w:val="es-ES" w:eastAsia="es-ES"/>
        </w:rPr>
        <w:t xml:space="preserve">, en su condición de Concesionario del Servicio Público de Transporte Remunerado, en la Modalidad de Taxi, contra el Artículo No. 7.14 de la Sesión Ordinaria No. 50-2015 del 26 de Agosto del 2015, dictado por la Junta Directiva del Consejo de Transporte Público.- </w:t>
      </w:r>
      <w:r>
        <w:rPr>
          <w:b/>
          <w:bCs/>
          <w:i/>
          <w:iCs/>
          <w:sz w:val="26"/>
          <w:szCs w:val="26"/>
          <w:lang w:val="es-ES" w:eastAsia="es-ES"/>
        </w:rPr>
        <w:t>Expediente Administrativo No. TAT-004-16.</w:t>
      </w:r>
      <w:r>
        <w:rPr>
          <w:b/>
          <w:bCs/>
          <w:i/>
          <w:iCs/>
          <w:sz w:val="26"/>
          <w:szCs w:val="26"/>
          <w:lang w:val="es-ES" w:eastAsia="es-ES"/>
        </w:rPr>
        <w:noBreakHyphen/>
      </w:r>
    </w:p>
    <w:p w:rsidR="00592D71" w:rsidRDefault="00592D71" w:rsidP="00592D71">
      <w:pPr>
        <w:kinsoku w:val="0"/>
        <w:overflowPunct w:val="0"/>
        <w:autoSpaceDE/>
        <w:autoSpaceDN/>
        <w:adjustRightInd/>
        <w:spacing w:before="611" w:line="298" w:lineRule="exact"/>
        <w:jc w:val="center"/>
        <w:textAlignment w:val="baseline"/>
        <w:rPr>
          <w:b/>
          <w:bCs/>
          <w:i/>
          <w:iCs/>
          <w:sz w:val="26"/>
          <w:szCs w:val="26"/>
          <w:lang w:val="es-ES" w:eastAsia="es-ES"/>
        </w:rPr>
      </w:pPr>
      <w:r>
        <w:rPr>
          <w:b/>
          <w:bCs/>
          <w:i/>
          <w:iCs/>
          <w:sz w:val="26"/>
          <w:szCs w:val="26"/>
          <w:lang w:val="es-ES" w:eastAsia="es-ES"/>
        </w:rPr>
        <w:t>Resultando</w:t>
      </w:r>
    </w:p>
    <w:p w:rsidR="00592D71" w:rsidRDefault="00592D71" w:rsidP="00592D71">
      <w:pPr>
        <w:kinsoku w:val="0"/>
        <w:overflowPunct w:val="0"/>
        <w:autoSpaceDE/>
        <w:autoSpaceDN/>
        <w:adjustRightInd/>
        <w:spacing w:before="263" w:line="301" w:lineRule="exact"/>
        <w:jc w:val="both"/>
        <w:textAlignment w:val="baseline"/>
        <w:rPr>
          <w:spacing w:val="1"/>
          <w:sz w:val="26"/>
          <w:szCs w:val="26"/>
          <w:lang w:val="es-ES" w:eastAsia="es-ES"/>
        </w:rPr>
      </w:pPr>
      <w:r>
        <w:rPr>
          <w:b/>
          <w:bCs/>
          <w:spacing w:val="1"/>
          <w:sz w:val="26"/>
          <w:szCs w:val="26"/>
          <w:lang w:val="es-ES" w:eastAsia="es-ES"/>
        </w:rPr>
        <w:t xml:space="preserve">PRIMERO: </w:t>
      </w:r>
      <w:r>
        <w:rPr>
          <w:spacing w:val="1"/>
          <w:sz w:val="26"/>
          <w:szCs w:val="26"/>
          <w:lang w:val="es-ES" w:eastAsia="es-ES"/>
        </w:rPr>
        <w:t>La Junta Directiva del Consejo de Transporte Público dispuso Cancelar el Derecho de Concesión (Placa TSJ-</w:t>
      </w:r>
      <w:r w:rsidR="006A5040">
        <w:rPr>
          <w:spacing w:val="1"/>
          <w:sz w:val="26"/>
          <w:szCs w:val="26"/>
          <w:lang w:val="es-ES" w:eastAsia="es-ES"/>
        </w:rPr>
        <w:t>…</w:t>
      </w:r>
      <w:r>
        <w:rPr>
          <w:spacing w:val="1"/>
          <w:sz w:val="26"/>
          <w:szCs w:val="26"/>
          <w:lang w:val="es-ES" w:eastAsia="es-ES"/>
        </w:rPr>
        <w:t>) otorgado al aquí Recurrente. Lo anterior según las determinaciones del Acuerdo No. 7.14 de su Sesión Ordinaria No. 50</w:t>
      </w:r>
      <w:r>
        <w:rPr>
          <w:spacing w:val="1"/>
          <w:sz w:val="26"/>
          <w:szCs w:val="26"/>
          <w:lang w:val="es-ES" w:eastAsia="es-ES"/>
        </w:rPr>
        <w:softHyphen/>
        <w:t>2015 y ante su supuesta Transferencia No Autorizada del mismo, por la emisión de un Poder Generalísimo en cuanto a la Placa aludida, en posible Detrimento de la Operadora del Servicio Público de Transporte Remunerado de Personas, modalidad Taxi.</w:t>
      </w:r>
    </w:p>
    <w:p w:rsidR="00592D71" w:rsidRDefault="00592D71" w:rsidP="00592D71">
      <w:pPr>
        <w:kinsoku w:val="0"/>
        <w:overflowPunct w:val="0"/>
        <w:autoSpaceDE/>
        <w:autoSpaceDN/>
        <w:adjustRightInd/>
        <w:spacing w:before="597" w:after="688" w:line="301" w:lineRule="exact"/>
        <w:textAlignment w:val="baseline"/>
        <w:rPr>
          <w:sz w:val="26"/>
          <w:szCs w:val="26"/>
          <w:lang w:val="es-ES" w:eastAsia="es-ES"/>
        </w:rPr>
      </w:pPr>
      <w:r>
        <w:rPr>
          <w:b/>
          <w:bCs/>
          <w:sz w:val="26"/>
          <w:szCs w:val="26"/>
          <w:lang w:val="es-ES" w:eastAsia="es-ES"/>
        </w:rPr>
        <w:t xml:space="preserve">SEGUNDO: </w:t>
      </w:r>
      <w:r>
        <w:rPr>
          <w:sz w:val="26"/>
          <w:szCs w:val="26"/>
          <w:lang w:val="es-ES" w:eastAsia="es-ES"/>
        </w:rPr>
        <w:t>El Recurrente manifiesta que se trata de un Procedimiento Irregular y que se le ha Causado Indefensión y en mérito de la Defensa de sus Derechos e Intereses procede a interponer formales Acciones Recursivas y de Impugnación contra el Acto por el cual se Cancela su Concesión para el Servicio Público de Transporte Remunerado, en la Modalidad de Taxi. Así como aduce que lo actuado ha sido en un tiempo excesivo y requiere la CADUCIDAD del Procedimiento Sancionatorio seguido en su contra.</w:t>
      </w:r>
    </w:p>
    <w:p w:rsidR="00592D71" w:rsidRDefault="00592D71" w:rsidP="00592D71">
      <w:pPr>
        <w:widowControl/>
        <w:rPr>
          <w:sz w:val="24"/>
          <w:szCs w:val="24"/>
        </w:rPr>
        <w:sectPr w:rsidR="00592D71">
          <w:pgSz w:w="12312" w:h="15691"/>
          <w:pgMar w:top="1600" w:right="1707" w:bottom="105" w:left="1685" w:header="720" w:footer="720" w:gutter="0"/>
          <w:cols w:space="720"/>
          <w:noEndnote/>
        </w:sectPr>
      </w:pPr>
    </w:p>
    <w:p w:rsidR="00592D71" w:rsidRDefault="00592D71" w:rsidP="00592D71">
      <w:pPr>
        <w:widowControl/>
        <w:rPr>
          <w:sz w:val="24"/>
          <w:szCs w:val="24"/>
        </w:rPr>
        <w:sectPr w:rsidR="00592D71">
          <w:type w:val="continuous"/>
          <w:pgSz w:w="12312" w:h="15691"/>
          <w:pgMar w:top="1600" w:right="1531" w:bottom="105" w:left="7901" w:header="720" w:footer="720" w:gutter="0"/>
          <w:cols w:space="720"/>
          <w:noEndnote/>
        </w:sectPr>
      </w:pPr>
    </w:p>
    <w:p w:rsidR="00592D71" w:rsidRDefault="00592D71" w:rsidP="00592D71">
      <w:pPr>
        <w:kinsoku w:val="0"/>
        <w:overflowPunct w:val="0"/>
        <w:autoSpaceDE/>
        <w:autoSpaceDN/>
        <w:adjustRightInd/>
        <w:spacing w:before="24" w:line="299" w:lineRule="exact"/>
        <w:jc w:val="both"/>
        <w:textAlignment w:val="baseline"/>
        <w:rPr>
          <w:sz w:val="26"/>
          <w:szCs w:val="26"/>
          <w:lang w:val="es-ES" w:eastAsia="es-ES"/>
        </w:rPr>
      </w:pPr>
      <w:r>
        <w:rPr>
          <w:noProof/>
          <w:lang w:val="es-CR"/>
        </w:rPr>
        <w:lastRenderedPageBreak/>
        <mc:AlternateContent>
          <mc:Choice Requires="wps">
            <w:drawing>
              <wp:anchor distT="0" distB="0" distL="0" distR="0" simplePos="0" relativeHeight="251659264" behindDoc="0" locked="0" layoutInCell="0" allowOverlap="1">
                <wp:simplePos x="0" y="0"/>
                <wp:positionH relativeFrom="column">
                  <wp:posOffset>3947795</wp:posOffset>
                </wp:positionH>
                <wp:positionV relativeFrom="paragraph">
                  <wp:posOffset>8067675</wp:posOffset>
                </wp:positionV>
                <wp:extent cx="1877060" cy="514985"/>
                <wp:effectExtent l="4445" t="3175" r="4445" b="5715"/>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514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102"/>
                              <w:gridCol w:w="854"/>
                            </w:tblGrid>
                            <w:tr w:rsidR="00592D71">
                              <w:trPr>
                                <w:trHeight w:hRule="exact" w:val="811"/>
                              </w:trPr>
                              <w:tc>
                                <w:tcPr>
                                  <w:tcW w:w="2102" w:type="dxa"/>
                                  <w:tcBorders>
                                    <w:top w:val="nil"/>
                                    <w:left w:val="nil"/>
                                    <w:bottom w:val="nil"/>
                                    <w:right w:val="nil"/>
                                  </w:tcBorders>
                                </w:tcPr>
                                <w:p w:rsidR="00592D71" w:rsidRDefault="00592D71">
                                  <w:pPr>
                                    <w:kinsoku w:val="0"/>
                                    <w:overflowPunct w:val="0"/>
                                    <w:autoSpaceDE/>
                                    <w:autoSpaceDN/>
                                    <w:adjustRightInd/>
                                    <w:spacing w:before="204" w:after="382" w:line="220" w:lineRule="exact"/>
                                    <w:ind w:right="269"/>
                                    <w:jc w:val="right"/>
                                    <w:textAlignment w:val="baseline"/>
                                    <w:rPr>
                                      <w:i/>
                                      <w:iCs/>
                                      <w:spacing w:val="-15"/>
                                      <w:sz w:val="21"/>
                                      <w:szCs w:val="21"/>
                                      <w:lang w:val="es-ES" w:eastAsia="es-ES"/>
                                    </w:rPr>
                                  </w:pPr>
                                </w:p>
                              </w:tc>
                              <w:tc>
                                <w:tcPr>
                                  <w:tcW w:w="854" w:type="dxa"/>
                                  <w:tcBorders>
                                    <w:top w:val="nil"/>
                                    <w:left w:val="nil"/>
                                    <w:bottom w:val="nil"/>
                                    <w:right w:val="nil"/>
                                  </w:tcBorders>
                                </w:tcPr>
                                <w:p w:rsidR="00592D71" w:rsidRDefault="00592D71">
                                  <w:pPr>
                                    <w:kinsoku w:val="0"/>
                                    <w:overflowPunct w:val="0"/>
                                    <w:autoSpaceDE/>
                                    <w:autoSpaceDN/>
                                    <w:adjustRightInd/>
                                    <w:jc w:val="center"/>
                                    <w:textAlignment w:val="baseline"/>
                                    <w:rPr>
                                      <w:sz w:val="24"/>
                                      <w:szCs w:val="24"/>
                                    </w:rPr>
                                  </w:pPr>
                                </w:p>
                              </w:tc>
                            </w:tr>
                          </w:tbl>
                          <w:p w:rsidR="00592D71" w:rsidRDefault="00592D71" w:rsidP="00592D7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6" type="#_x0000_t202" style="position:absolute;left:0;text-align:left;margin-left:310.85pt;margin-top:635.25pt;width:147.8pt;height:40.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2102"/>
                        <w:gridCol w:w="854"/>
                      </w:tblGrid>
                      <w:tr w:rsidR="00592D71">
                        <w:trPr>
                          <w:trHeight w:hRule="exact" w:val="811"/>
                        </w:trPr>
                        <w:tc>
                          <w:tcPr>
                            <w:tcW w:w="2102" w:type="dxa"/>
                            <w:tcBorders>
                              <w:top w:val="nil"/>
                              <w:left w:val="nil"/>
                              <w:bottom w:val="nil"/>
                              <w:right w:val="nil"/>
                            </w:tcBorders>
                          </w:tcPr>
                          <w:p w:rsidR="00592D71" w:rsidRDefault="00592D71">
                            <w:pPr>
                              <w:kinsoku w:val="0"/>
                              <w:overflowPunct w:val="0"/>
                              <w:autoSpaceDE/>
                              <w:autoSpaceDN/>
                              <w:adjustRightInd/>
                              <w:spacing w:before="204" w:after="382" w:line="220" w:lineRule="exact"/>
                              <w:ind w:right="269"/>
                              <w:jc w:val="right"/>
                              <w:textAlignment w:val="baseline"/>
                              <w:rPr>
                                <w:i/>
                                <w:iCs/>
                                <w:spacing w:val="-15"/>
                                <w:sz w:val="21"/>
                                <w:szCs w:val="21"/>
                                <w:lang w:val="es-ES" w:eastAsia="es-ES"/>
                              </w:rPr>
                            </w:pPr>
                          </w:p>
                        </w:tc>
                        <w:tc>
                          <w:tcPr>
                            <w:tcW w:w="854" w:type="dxa"/>
                            <w:tcBorders>
                              <w:top w:val="nil"/>
                              <w:left w:val="nil"/>
                              <w:bottom w:val="nil"/>
                              <w:right w:val="nil"/>
                            </w:tcBorders>
                          </w:tcPr>
                          <w:p w:rsidR="00592D71" w:rsidRDefault="00592D71">
                            <w:pPr>
                              <w:kinsoku w:val="0"/>
                              <w:overflowPunct w:val="0"/>
                              <w:autoSpaceDE/>
                              <w:autoSpaceDN/>
                              <w:adjustRightInd/>
                              <w:jc w:val="center"/>
                              <w:textAlignment w:val="baseline"/>
                              <w:rPr>
                                <w:sz w:val="24"/>
                                <w:szCs w:val="24"/>
                              </w:rPr>
                            </w:pPr>
                          </w:p>
                        </w:tc>
                      </w:tr>
                    </w:tbl>
                    <w:p w:rsidR="00592D71" w:rsidRDefault="00592D71" w:rsidP="00592D71">
                      <w:pPr>
                        <w:kinsoku w:val="0"/>
                        <w:overflowPunct w:val="0"/>
                        <w:autoSpaceDE/>
                        <w:autoSpaceDN/>
                        <w:adjustRightInd/>
                        <w:textAlignment w:val="baseline"/>
                        <w:rPr>
                          <w:sz w:val="24"/>
                          <w:szCs w:val="24"/>
                        </w:rPr>
                      </w:pPr>
                    </w:p>
                  </w:txbxContent>
                </v:textbox>
                <w10:wrap type="square"/>
              </v:shape>
            </w:pict>
          </mc:Fallback>
        </mc:AlternateContent>
      </w:r>
      <w:r>
        <w:rPr>
          <w:b/>
          <w:bCs/>
          <w:sz w:val="26"/>
          <w:szCs w:val="26"/>
          <w:lang w:val="es-ES" w:eastAsia="es-ES"/>
        </w:rPr>
        <w:t xml:space="preserve">TERCERO: </w:t>
      </w:r>
      <w:r>
        <w:rPr>
          <w:sz w:val="26"/>
          <w:szCs w:val="26"/>
          <w:lang w:val="es-ES" w:eastAsia="es-ES"/>
        </w:rPr>
        <w:t>La Junta Directiva del Consejo de Transporte Público RECHAZA el Recurso de Revocatoria y la Incidencia de Nulidad presentados, tal determinación la adopta mediante Artículo No. 7.11.1 de su Sesión Ordinaria 69-2015 del 16 de Diciembre del 2015. Ordenando elevar ante este Tribunal la Apelación y Nulidad concomitantes o subsidiarias.</w:t>
      </w:r>
    </w:p>
    <w:p w:rsidR="00592D71" w:rsidRDefault="00592D71" w:rsidP="00592D71">
      <w:pPr>
        <w:kinsoku w:val="0"/>
        <w:overflowPunct w:val="0"/>
        <w:autoSpaceDE/>
        <w:autoSpaceDN/>
        <w:adjustRightInd/>
        <w:spacing w:before="249" w:line="342" w:lineRule="exact"/>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Visto lo anterior, en estima de los atestados que conforman el respectivo Expediente Administrativo y conforme los términos y prescripciones de Ley,</w:t>
      </w:r>
    </w:p>
    <w:p w:rsidR="00592D71" w:rsidRDefault="00592D71" w:rsidP="00592D71">
      <w:pPr>
        <w:kinsoku w:val="0"/>
        <w:overflowPunct w:val="0"/>
        <w:autoSpaceDE/>
        <w:autoSpaceDN/>
        <w:adjustRightInd/>
        <w:spacing w:before="47" w:line="299" w:lineRule="exact"/>
        <w:textAlignment w:val="baseline"/>
        <w:rPr>
          <w:sz w:val="26"/>
          <w:szCs w:val="26"/>
          <w:lang w:val="es-ES" w:eastAsia="es-ES"/>
        </w:rPr>
      </w:pPr>
      <w:r>
        <w:rPr>
          <w:sz w:val="26"/>
          <w:szCs w:val="26"/>
          <w:lang w:val="es-ES" w:eastAsia="es-ES"/>
        </w:rPr>
        <w:t>procede a conocer este Tribunal; y</w:t>
      </w:r>
    </w:p>
    <w:p w:rsidR="00592D71" w:rsidRDefault="00592D71" w:rsidP="00592D71">
      <w:pPr>
        <w:kinsoku w:val="0"/>
        <w:overflowPunct w:val="0"/>
        <w:autoSpaceDE/>
        <w:autoSpaceDN/>
        <w:adjustRightInd/>
        <w:spacing w:before="338" w:line="304" w:lineRule="exact"/>
        <w:textAlignment w:val="baseline"/>
        <w:rPr>
          <w:i/>
          <w:iCs/>
          <w:spacing w:val="10"/>
          <w:sz w:val="26"/>
          <w:szCs w:val="26"/>
          <w:lang w:val="es-ES" w:eastAsia="es-ES"/>
        </w:rPr>
      </w:pPr>
      <w:r>
        <w:rPr>
          <w:i/>
          <w:iCs/>
          <w:spacing w:val="10"/>
          <w:sz w:val="26"/>
          <w:szCs w:val="26"/>
          <w:lang w:val="es-ES" w:eastAsia="es-ES"/>
        </w:rPr>
        <w:t>REDACTA EL JUEZ QUESADA AGUIRRE</w:t>
      </w:r>
    </w:p>
    <w:p w:rsidR="00592D71" w:rsidRDefault="00592D71" w:rsidP="00592D71">
      <w:pPr>
        <w:kinsoku w:val="0"/>
        <w:overflowPunct w:val="0"/>
        <w:autoSpaceDE/>
        <w:autoSpaceDN/>
        <w:adjustRightInd/>
        <w:spacing w:before="283" w:line="304" w:lineRule="exact"/>
        <w:jc w:val="center"/>
        <w:textAlignment w:val="baseline"/>
        <w:rPr>
          <w:i/>
          <w:iCs/>
          <w:spacing w:val="1"/>
          <w:sz w:val="26"/>
          <w:szCs w:val="26"/>
          <w:lang w:val="es-ES" w:eastAsia="es-ES"/>
        </w:rPr>
      </w:pPr>
      <w:r>
        <w:rPr>
          <w:i/>
          <w:iCs/>
          <w:spacing w:val="1"/>
          <w:sz w:val="26"/>
          <w:szCs w:val="26"/>
          <w:lang w:val="es-ES" w:eastAsia="es-ES"/>
        </w:rPr>
        <w:t>Considerando</w:t>
      </w:r>
    </w:p>
    <w:p w:rsidR="00592D71" w:rsidRDefault="00592D71" w:rsidP="00592D71">
      <w:pPr>
        <w:numPr>
          <w:ilvl w:val="0"/>
          <w:numId w:val="1"/>
        </w:numPr>
        <w:kinsoku w:val="0"/>
        <w:overflowPunct w:val="0"/>
        <w:autoSpaceDE/>
        <w:autoSpaceDN/>
        <w:adjustRightInd/>
        <w:spacing w:before="284" w:line="299" w:lineRule="exact"/>
        <w:jc w:val="both"/>
        <w:textAlignment w:val="baseline"/>
        <w:rPr>
          <w:sz w:val="26"/>
          <w:szCs w:val="26"/>
          <w:lang w:val="es-ES" w:eastAsia="es-E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 la Modalidad de Taxi, No. 7969 de 22 de diciembre de 1999; y de la Nulidad concomitante en relación con el artículo 181 de la Ley General de la Administración Pública y con el Dictamen de la Procuraduría General de la República No. C-037-2000 del 25 de Febrero de 2000.</w:t>
      </w:r>
    </w:p>
    <w:p w:rsidR="00592D71" w:rsidRDefault="00592D71" w:rsidP="00592D71">
      <w:pPr>
        <w:numPr>
          <w:ilvl w:val="0"/>
          <w:numId w:val="1"/>
        </w:numPr>
        <w:kinsoku w:val="0"/>
        <w:overflowPunct w:val="0"/>
        <w:autoSpaceDE/>
        <w:autoSpaceDN/>
        <w:adjustRightInd/>
        <w:spacing w:before="269" w:line="300" w:lineRule="exact"/>
        <w:jc w:val="both"/>
        <w:textAlignment w:val="baseline"/>
        <w:rPr>
          <w:sz w:val="26"/>
          <w:szCs w:val="26"/>
          <w:lang w:val="es-ES" w:eastAsia="es-ES"/>
        </w:rPr>
      </w:pPr>
      <w:r>
        <w:rPr>
          <w:b/>
          <w:bCs/>
          <w:sz w:val="26"/>
          <w:szCs w:val="26"/>
          <w:lang w:val="es-ES" w:eastAsia="es-ES"/>
        </w:rPr>
        <w:t xml:space="preserve">LA ADMISIBILIDAD DEL RECURSO: </w:t>
      </w:r>
      <w:r>
        <w:rPr>
          <w:b/>
          <w:bCs/>
          <w:sz w:val="26"/>
          <w:szCs w:val="26"/>
          <w:u w:val="single"/>
          <w:lang w:val="es-ES" w:eastAsia="es-ES"/>
        </w:rPr>
        <w:t>En cuanto a la Legitimación:</w:t>
      </w:r>
      <w:r>
        <w:rPr>
          <w:sz w:val="26"/>
          <w:szCs w:val="26"/>
          <w:lang w:val="es-ES" w:eastAsia="es-ES"/>
        </w:rPr>
        <w:t xml:space="preserve"> al Recurrente se le Canceló mediante el Acuerdo Impugnado la Concesión de Operación del Servicio de Taxi a él autorizado,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08 de Setiembre del 2015; habiéndose comunicado el Acto Impugnado en fecha 01 de Setiembre del 2015 </w:t>
      </w:r>
      <w:r>
        <w:rPr>
          <w:i/>
          <w:iCs/>
          <w:sz w:val="26"/>
          <w:szCs w:val="26"/>
          <w:lang w:val="es-ES" w:eastAsia="es-ES"/>
        </w:rPr>
        <w:t xml:space="preserve">(vía correo electrónico). </w:t>
      </w:r>
      <w:r>
        <w:rPr>
          <w:sz w:val="26"/>
          <w:szCs w:val="26"/>
          <w:lang w:val="es-ES" w:eastAsia="es-ES"/>
        </w:rPr>
        <w:t>Razón por la debe tenerse como establecido dentro del plazo a que alude el Artículo No. 11 de la Ley No. 7969. -</w:t>
      </w:r>
    </w:p>
    <w:p w:rsidR="00592D71" w:rsidRDefault="00592D71" w:rsidP="00592D71">
      <w:pPr>
        <w:numPr>
          <w:ilvl w:val="0"/>
          <w:numId w:val="1"/>
        </w:numPr>
        <w:kinsoku w:val="0"/>
        <w:overflowPunct w:val="0"/>
        <w:autoSpaceDE/>
        <w:autoSpaceDN/>
        <w:adjustRightInd/>
        <w:spacing w:before="280" w:line="299" w:lineRule="exact"/>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592D71" w:rsidRDefault="00592D71" w:rsidP="00592D71">
      <w:pPr>
        <w:tabs>
          <w:tab w:val="right" w:pos="8928"/>
        </w:tabs>
        <w:kinsoku w:val="0"/>
        <w:overflowPunct w:val="0"/>
        <w:autoSpaceDE/>
        <w:autoSpaceDN/>
        <w:adjustRightInd/>
        <w:spacing w:before="288" w:line="304" w:lineRule="exact"/>
        <w:jc w:val="both"/>
        <w:textAlignment w:val="baseline"/>
        <w:rPr>
          <w:i/>
          <w:iCs/>
          <w:sz w:val="26"/>
          <w:szCs w:val="26"/>
          <w:lang w:val="es-ES" w:eastAsia="es-ES"/>
        </w:rPr>
      </w:pPr>
      <w:r>
        <w:rPr>
          <w:b/>
          <w:bCs/>
          <w:sz w:val="26"/>
          <w:szCs w:val="26"/>
          <w:lang w:val="es-ES" w:eastAsia="es-ES"/>
        </w:rPr>
        <w:t>a.-</w:t>
      </w:r>
      <w:r>
        <w:rPr>
          <w:b/>
          <w:bCs/>
          <w:sz w:val="26"/>
          <w:szCs w:val="26"/>
          <w:lang w:val="es-ES" w:eastAsia="es-ES"/>
        </w:rPr>
        <w:tab/>
      </w:r>
      <w:r>
        <w:rPr>
          <w:i/>
          <w:iCs/>
          <w:sz w:val="26"/>
          <w:szCs w:val="26"/>
          <w:lang w:val="es-ES" w:eastAsia="es-ES"/>
        </w:rPr>
        <w:t>Que la Junta Directiva del Consejo de Transporte Público dispuso Cancelar</w:t>
      </w:r>
    </w:p>
    <w:p w:rsidR="00592D71" w:rsidRDefault="00592D71" w:rsidP="00592D71">
      <w:pPr>
        <w:kinsoku w:val="0"/>
        <w:overflowPunct w:val="0"/>
        <w:autoSpaceDE/>
        <w:autoSpaceDN/>
        <w:adjustRightInd/>
        <w:spacing w:line="302" w:lineRule="exact"/>
        <w:jc w:val="both"/>
        <w:textAlignment w:val="baseline"/>
        <w:rPr>
          <w:i/>
          <w:iCs/>
          <w:spacing w:val="2"/>
          <w:sz w:val="26"/>
          <w:szCs w:val="26"/>
          <w:lang w:val="es-ES" w:eastAsia="es-ES"/>
        </w:rPr>
      </w:pPr>
      <w:r>
        <w:rPr>
          <w:i/>
          <w:iCs/>
          <w:spacing w:val="2"/>
          <w:sz w:val="26"/>
          <w:szCs w:val="26"/>
          <w:lang w:val="es-ES" w:eastAsia="es-ES"/>
        </w:rPr>
        <w:t>el Derecho de Concesión (Placa TSJ-</w:t>
      </w:r>
      <w:r w:rsidR="006A5040">
        <w:rPr>
          <w:i/>
          <w:iCs/>
          <w:spacing w:val="2"/>
          <w:sz w:val="26"/>
          <w:szCs w:val="26"/>
          <w:lang w:val="es-ES" w:eastAsia="es-ES"/>
        </w:rPr>
        <w:t>….</w:t>
      </w:r>
      <w:r>
        <w:rPr>
          <w:i/>
          <w:iCs/>
          <w:spacing w:val="2"/>
          <w:sz w:val="26"/>
          <w:szCs w:val="26"/>
          <w:lang w:val="es-ES" w:eastAsia="es-ES"/>
        </w:rPr>
        <w:t>) otorgado al aquí Recurrente. Lo anterior según las determinaciones del Acuerdo No. 7.14 de su Sesión Ordinaria No. 50-2015 y ante su supuesta Transferencia No Autorizada del mismo, por la emisión de un Poder Generalísimo en cuanto a la Placa aludida, en posible Detrimento de la Operadora del Servicio Público de Transporte Remunerado de Personas, modalidad Taxi.</w:t>
      </w:r>
    </w:p>
    <w:p w:rsidR="00592D71" w:rsidRDefault="00592D71" w:rsidP="00592D71">
      <w:pPr>
        <w:widowControl/>
        <w:rPr>
          <w:sz w:val="24"/>
          <w:szCs w:val="24"/>
        </w:rPr>
        <w:sectPr w:rsidR="00592D71">
          <w:pgSz w:w="12307" w:h="15706"/>
          <w:pgMar w:top="1580" w:right="1716" w:bottom="1025" w:left="1665" w:header="720" w:footer="720" w:gutter="0"/>
          <w:cols w:space="720"/>
          <w:noEndnote/>
        </w:sectPr>
      </w:pPr>
    </w:p>
    <w:p w:rsidR="00592D71" w:rsidRDefault="00592D71" w:rsidP="00592D71">
      <w:pPr>
        <w:numPr>
          <w:ilvl w:val="0"/>
          <w:numId w:val="2"/>
        </w:numPr>
        <w:kinsoku w:val="0"/>
        <w:overflowPunct w:val="0"/>
        <w:autoSpaceDE/>
        <w:autoSpaceDN/>
        <w:adjustRightInd/>
        <w:spacing w:before="17" w:line="301" w:lineRule="exact"/>
        <w:textAlignment w:val="baseline"/>
        <w:rPr>
          <w:i/>
          <w:iCs/>
          <w:sz w:val="26"/>
          <w:szCs w:val="26"/>
          <w:lang w:val="es-ES" w:eastAsia="es-ES"/>
        </w:rPr>
      </w:pPr>
      <w:r>
        <w:rPr>
          <w:i/>
          <w:iCs/>
          <w:sz w:val="26"/>
          <w:szCs w:val="26"/>
          <w:lang w:val="es-ES" w:eastAsia="es-ES"/>
        </w:rPr>
        <w:lastRenderedPageBreak/>
        <w:t>Que el Recurrente manifiesta que se trata de un Procedimiento Irregular y que se le ha Causado Indefensión y en mérito de la Defensa de sus Derechos e Intereses procede a interponer formales Acciones Recursivas y de Impugnación contra el Acto por el cual se Cancela su Concesión para el Servicio Público de Transporte Remunerado, en la Modalidad de Taxi. Así como aduce que lo actuado ha sido en un tiempo excesivo y requiere la CADUCIDAD/NULIDAD del Procedimiento Sancionatorio seguido en su contra.</w:t>
      </w:r>
    </w:p>
    <w:p w:rsidR="00592D71" w:rsidRDefault="00592D71" w:rsidP="00592D71">
      <w:pPr>
        <w:numPr>
          <w:ilvl w:val="0"/>
          <w:numId w:val="2"/>
        </w:numPr>
        <w:kinsoku w:val="0"/>
        <w:overflowPunct w:val="0"/>
        <w:autoSpaceDE/>
        <w:autoSpaceDN/>
        <w:adjustRightInd/>
        <w:spacing w:before="283" w:line="301" w:lineRule="exact"/>
        <w:jc w:val="both"/>
        <w:textAlignment w:val="baseline"/>
        <w:rPr>
          <w:i/>
          <w:iCs/>
          <w:sz w:val="26"/>
          <w:szCs w:val="26"/>
          <w:lang w:val="es-ES" w:eastAsia="es-ES"/>
        </w:rPr>
      </w:pPr>
      <w:r>
        <w:rPr>
          <w:i/>
          <w:iCs/>
          <w:sz w:val="26"/>
          <w:szCs w:val="26"/>
          <w:lang w:val="es-ES" w:eastAsia="es-ES"/>
        </w:rPr>
        <w:t>La Junta Directiva del Consejo de Transporte Público RECHAZA el Recurso de Revocatoria y la Incidencia de Nulidad presentados, tal determinación la adopta mediante Artículo No. 7.11.1 de su Sesión Ordinaria 69-2015 del 16 de Diciembre del 2015. Ordenando elevar ante este Tribunal la Apelación y Nulidad concomitantes o subsidiarias.</w:t>
      </w:r>
    </w:p>
    <w:p w:rsidR="00592D71" w:rsidRDefault="00592D71" w:rsidP="00592D71">
      <w:pPr>
        <w:numPr>
          <w:ilvl w:val="0"/>
          <w:numId w:val="2"/>
        </w:numPr>
        <w:kinsoku w:val="0"/>
        <w:overflowPunct w:val="0"/>
        <w:autoSpaceDE/>
        <w:autoSpaceDN/>
        <w:adjustRightInd/>
        <w:spacing w:before="280" w:line="301" w:lineRule="exact"/>
        <w:jc w:val="both"/>
        <w:textAlignment w:val="baseline"/>
        <w:rPr>
          <w:i/>
          <w:iCs/>
          <w:sz w:val="26"/>
          <w:szCs w:val="26"/>
          <w:lang w:val="es-ES" w:eastAsia="es-ES"/>
        </w:rPr>
      </w:pPr>
      <w:r>
        <w:rPr>
          <w:i/>
          <w:iCs/>
          <w:sz w:val="26"/>
          <w:szCs w:val="26"/>
          <w:lang w:val="es-ES" w:eastAsia="es-ES"/>
        </w:rPr>
        <w:t>Que el Procedimiento Administrativo del Caso, en su Etapa de desarrollo (desde su Disposición hasta su Terminación con el Acuerdo Impugnado), tuvo una duración de poco más de CINCO AÑOS.</w:t>
      </w:r>
    </w:p>
    <w:p w:rsidR="00592D71" w:rsidRDefault="00592D71" w:rsidP="00592D71">
      <w:pPr>
        <w:numPr>
          <w:ilvl w:val="0"/>
          <w:numId w:val="2"/>
        </w:numPr>
        <w:kinsoku w:val="0"/>
        <w:overflowPunct w:val="0"/>
        <w:autoSpaceDE/>
        <w:autoSpaceDN/>
        <w:adjustRightInd/>
        <w:spacing w:before="290" w:line="301" w:lineRule="exact"/>
        <w:jc w:val="both"/>
        <w:textAlignment w:val="baseline"/>
        <w:rPr>
          <w:i/>
          <w:iCs/>
          <w:sz w:val="26"/>
          <w:szCs w:val="26"/>
          <w:lang w:val="es-ES" w:eastAsia="es-ES"/>
        </w:rPr>
      </w:pPr>
      <w:r>
        <w:rPr>
          <w:i/>
          <w:iCs/>
          <w:sz w:val="26"/>
          <w:szCs w:val="26"/>
          <w:lang w:val="es-ES" w:eastAsia="es-ES"/>
        </w:rPr>
        <w:t>Que conforme los Antecedentes del Caso, durante su desarrollo, el hoy Recurrente No Alegó su Caducidad pertinente, pese a su Duración/Paralización Excesiva Evidenciada.</w:t>
      </w:r>
    </w:p>
    <w:p w:rsidR="00592D71" w:rsidRDefault="00592D71" w:rsidP="00592D71">
      <w:pPr>
        <w:numPr>
          <w:ilvl w:val="0"/>
          <w:numId w:val="3"/>
        </w:numPr>
        <w:kinsoku w:val="0"/>
        <w:overflowPunct w:val="0"/>
        <w:autoSpaceDE/>
        <w:autoSpaceDN/>
        <w:adjustRightInd/>
        <w:spacing w:before="304" w:line="301" w:lineRule="exact"/>
        <w:jc w:val="both"/>
        <w:textAlignment w:val="baseline"/>
        <w:rPr>
          <w:b/>
          <w:bCs/>
          <w:sz w:val="26"/>
          <w:szCs w:val="26"/>
          <w:lang w:val="es-ES" w:eastAsia="es-ES"/>
        </w:rPr>
      </w:pPr>
      <w:r>
        <w:rPr>
          <w:b/>
          <w:bCs/>
          <w:sz w:val="26"/>
          <w:szCs w:val="26"/>
          <w:lang w:val="es-ES" w:eastAsia="es-ES"/>
        </w:rPr>
        <w:t>HECHOS NO PROBADOS:</w:t>
      </w:r>
    </w:p>
    <w:p w:rsidR="00592D71" w:rsidRDefault="00592D71" w:rsidP="00592D71">
      <w:pPr>
        <w:kinsoku w:val="0"/>
        <w:overflowPunct w:val="0"/>
        <w:autoSpaceDE/>
        <w:autoSpaceDN/>
        <w:adjustRightInd/>
        <w:spacing w:before="301" w:line="297" w:lineRule="exact"/>
        <w:textAlignment w:val="baseline"/>
        <w:rPr>
          <w:spacing w:val="1"/>
          <w:sz w:val="26"/>
          <w:szCs w:val="26"/>
          <w:lang w:val="es-ES" w:eastAsia="es-ES"/>
        </w:rPr>
      </w:pPr>
      <w:r>
        <w:rPr>
          <w:spacing w:val="1"/>
          <w:sz w:val="26"/>
          <w:szCs w:val="26"/>
          <w:lang w:val="es-ES" w:eastAsia="es-ES"/>
        </w:rPr>
        <w:t>No se consigna ninguno de relevancia a los efectos de manas.</w:t>
      </w:r>
    </w:p>
    <w:p w:rsidR="00592D71" w:rsidRDefault="00592D71" w:rsidP="00592D71">
      <w:pPr>
        <w:kinsoku w:val="0"/>
        <w:overflowPunct w:val="0"/>
        <w:autoSpaceDE/>
        <w:autoSpaceDN/>
        <w:adjustRightInd/>
        <w:spacing w:before="604" w:line="301" w:lineRule="exact"/>
        <w:textAlignment w:val="baseline"/>
        <w:rPr>
          <w:b/>
          <w:bCs/>
          <w:sz w:val="26"/>
          <w:szCs w:val="26"/>
          <w:lang w:val="es-ES" w:eastAsia="es-ES"/>
        </w:rPr>
      </w:pPr>
      <w:r>
        <w:rPr>
          <w:b/>
          <w:bCs/>
          <w:sz w:val="26"/>
          <w:szCs w:val="26"/>
          <w:lang w:val="es-ES" w:eastAsia="es-ES"/>
        </w:rPr>
        <w:t>5.- SOBRE EL FONDO</w:t>
      </w:r>
    </w:p>
    <w:p w:rsidR="00592D71" w:rsidRDefault="00592D71" w:rsidP="00592D71">
      <w:pPr>
        <w:kinsoku w:val="0"/>
        <w:overflowPunct w:val="0"/>
        <w:autoSpaceDE/>
        <w:autoSpaceDN/>
        <w:adjustRightInd/>
        <w:spacing w:before="278" w:after="922" w:line="297" w:lineRule="exact"/>
        <w:jc w:val="both"/>
        <w:textAlignment w:val="baseline"/>
        <w:rPr>
          <w:sz w:val="26"/>
          <w:szCs w:val="26"/>
          <w:lang w:val="es-ES" w:eastAsia="es-ES"/>
        </w:rPr>
      </w:pPr>
      <w:r>
        <w:rPr>
          <w:sz w:val="26"/>
          <w:szCs w:val="26"/>
          <w:lang w:val="es-ES" w:eastAsia="es-ES"/>
        </w:rPr>
        <w:t xml:space="preserve">En la especie estamos frente a uno de esos Casos en que un Concesionario de Taxi emite un Poder General o Generalísimo sin Límite de Suma a favor de un Tercero y por él mismo le otorga, por su redacción, amplias facultades en cuanto a la referida Concesión. Situación ante la cual el Consejo de Transporte Público ha reaccionado con dureza y ha tomado la Línea de Acción de Cancelar o Caducar las Concesiones en torno a las que se presenten tales circunstancias. Ello bajo la Presunción de que el Otorgamiento de un Poder como el aludido, conlleva un Traspaso o Transferencia de la Concesión. Lo cual no es dable, pues tal Derecho es Intransferible, como Regla General, salvo en los casos de excepción que la Ley fija y con previa autorización del Consejo de Transporte Público al efecto. Determinación frente a la que el Concesionario Afectado determina </w:t>
      </w:r>
      <w:r>
        <w:rPr>
          <w:i/>
          <w:iCs/>
          <w:sz w:val="26"/>
          <w:szCs w:val="26"/>
          <w:lang w:val="es-ES" w:eastAsia="es-ES"/>
        </w:rPr>
        <w:t xml:space="preserve">—entre otras cosas- </w:t>
      </w:r>
      <w:r>
        <w:rPr>
          <w:sz w:val="26"/>
          <w:szCs w:val="26"/>
          <w:lang w:val="es-ES" w:eastAsia="es-ES"/>
        </w:rPr>
        <w:t>la Duración Excesiva del</w:t>
      </w:r>
    </w:p>
    <w:p w:rsidR="00592D71" w:rsidRDefault="00592D71" w:rsidP="00592D71">
      <w:pPr>
        <w:widowControl/>
        <w:rPr>
          <w:sz w:val="24"/>
          <w:szCs w:val="24"/>
        </w:rPr>
        <w:sectPr w:rsidR="00592D71">
          <w:pgSz w:w="12298" w:h="15725"/>
          <w:pgMar w:top="1580" w:right="1707" w:bottom="569" w:left="1665" w:header="720" w:footer="720" w:gutter="0"/>
          <w:cols w:space="720"/>
          <w:noEndnote/>
        </w:sectPr>
      </w:pPr>
    </w:p>
    <w:p w:rsidR="00592D71" w:rsidRDefault="00592D71" w:rsidP="00592D71">
      <w:pPr>
        <w:widowControl/>
        <w:rPr>
          <w:sz w:val="24"/>
          <w:szCs w:val="24"/>
        </w:rPr>
        <w:sectPr w:rsidR="00592D71">
          <w:type w:val="continuous"/>
          <w:pgSz w:w="12298" w:h="15725"/>
          <w:pgMar w:top="1580" w:right="1906" w:bottom="569" w:left="7872" w:header="720" w:footer="720" w:gutter="0"/>
          <w:cols w:space="720"/>
          <w:noEndnote/>
        </w:sectPr>
      </w:pPr>
    </w:p>
    <w:p w:rsidR="00592D71" w:rsidRDefault="00592D71" w:rsidP="00592D71">
      <w:pPr>
        <w:kinsoku w:val="0"/>
        <w:overflowPunct w:val="0"/>
        <w:autoSpaceDE/>
        <w:autoSpaceDN/>
        <w:adjustRightInd/>
        <w:spacing w:before="46" w:line="297" w:lineRule="exact"/>
        <w:jc w:val="both"/>
        <w:textAlignment w:val="baseline"/>
        <w:rPr>
          <w:sz w:val="26"/>
          <w:szCs w:val="26"/>
          <w:lang w:val="es-ES" w:eastAsia="es-ES"/>
        </w:rPr>
      </w:pPr>
      <w:r>
        <w:rPr>
          <w:sz w:val="26"/>
          <w:szCs w:val="26"/>
          <w:lang w:val="es-ES" w:eastAsia="es-ES"/>
        </w:rPr>
        <w:lastRenderedPageBreak/>
        <w:t xml:space="preserve">Procedimiento Integral de Juzgamiento, Valoración y definición de su Caso </w:t>
      </w:r>
      <w:r>
        <w:rPr>
          <w:i/>
          <w:iCs/>
          <w:sz w:val="26"/>
          <w:szCs w:val="26"/>
          <w:lang w:val="es-ES" w:eastAsia="es-ES"/>
        </w:rPr>
        <w:t xml:space="preserve">y, per se, </w:t>
      </w:r>
      <w:r>
        <w:rPr>
          <w:sz w:val="26"/>
          <w:szCs w:val="26"/>
          <w:lang w:val="es-ES" w:eastAsia="es-ES"/>
        </w:rPr>
        <w:t>la posible Caducidad del mismo.</w:t>
      </w:r>
    </w:p>
    <w:p w:rsidR="00592D71" w:rsidRDefault="00592D71" w:rsidP="00592D71">
      <w:pPr>
        <w:kinsoku w:val="0"/>
        <w:overflowPunct w:val="0"/>
        <w:autoSpaceDE/>
        <w:autoSpaceDN/>
        <w:adjustRightInd/>
        <w:spacing w:before="575" w:line="303" w:lineRule="exact"/>
        <w:jc w:val="both"/>
        <w:textAlignment w:val="baseline"/>
        <w:rPr>
          <w:b/>
          <w:bCs/>
          <w:sz w:val="26"/>
          <w:szCs w:val="26"/>
          <w:lang w:val="es-ES" w:eastAsia="es-ES"/>
        </w:rPr>
      </w:pPr>
      <w:r>
        <w:rPr>
          <w:b/>
          <w:bCs/>
          <w:sz w:val="26"/>
          <w:szCs w:val="26"/>
          <w:lang w:val="es-ES" w:eastAsia="es-ES"/>
        </w:rPr>
        <w:t>A.- SOBRE LA CADUCIDAD/NULIDAD DEL PROCEDIMIENTO ADMINISTRATIVO POR DURACCIÓN/PARALIZACIÓN EXCESIVA:</w:t>
      </w:r>
    </w:p>
    <w:p w:rsidR="00592D71" w:rsidRDefault="00592D71" w:rsidP="00592D71">
      <w:pPr>
        <w:tabs>
          <w:tab w:val="left" w:pos="720"/>
        </w:tabs>
        <w:kinsoku w:val="0"/>
        <w:overflowPunct w:val="0"/>
        <w:autoSpaceDE/>
        <w:autoSpaceDN/>
        <w:adjustRightInd/>
        <w:spacing w:before="321" w:line="301" w:lineRule="exact"/>
        <w:textAlignment w:val="baseline"/>
        <w:rPr>
          <w:b/>
          <w:bCs/>
          <w:i/>
          <w:iCs/>
          <w:spacing w:val="-1"/>
          <w:sz w:val="26"/>
          <w:szCs w:val="26"/>
          <w:lang w:val="es-ES" w:eastAsia="es-ES"/>
        </w:rPr>
      </w:pPr>
      <w:r>
        <w:rPr>
          <w:i/>
          <w:iCs/>
          <w:spacing w:val="-1"/>
          <w:sz w:val="26"/>
          <w:szCs w:val="26"/>
          <w:lang w:val="es-ES" w:eastAsia="es-ES"/>
        </w:rPr>
        <w:t>i.</w:t>
      </w:r>
      <w:r>
        <w:rPr>
          <w:i/>
          <w:iCs/>
          <w:spacing w:val="-1"/>
          <w:sz w:val="26"/>
          <w:szCs w:val="26"/>
          <w:lang w:val="es-ES" w:eastAsia="es-ES"/>
        </w:rPr>
        <w:tab/>
      </w:r>
      <w:r>
        <w:rPr>
          <w:b/>
          <w:bCs/>
          <w:i/>
          <w:iCs/>
          <w:spacing w:val="-1"/>
          <w:sz w:val="26"/>
          <w:szCs w:val="26"/>
          <w:lang w:val="es-ES" w:eastAsia="es-ES"/>
        </w:rPr>
        <w:t>CONSIDERACIONES GENERALES:</w:t>
      </w:r>
    </w:p>
    <w:p w:rsidR="00592D71" w:rsidRDefault="00592D71" w:rsidP="00592D71">
      <w:pPr>
        <w:kinsoku w:val="0"/>
        <w:overflowPunct w:val="0"/>
        <w:autoSpaceDE/>
        <w:autoSpaceDN/>
        <w:adjustRightInd/>
        <w:spacing w:before="293" w:line="297" w:lineRule="exact"/>
        <w:jc w:val="both"/>
        <w:textAlignment w:val="baseline"/>
        <w:rPr>
          <w:i/>
          <w:iCs/>
          <w:sz w:val="26"/>
          <w:szCs w:val="26"/>
          <w:lang w:val="es-ES" w:eastAsia="es-ES"/>
        </w:rPr>
      </w:pPr>
      <w:r>
        <w:rPr>
          <w:sz w:val="26"/>
          <w:szCs w:val="26"/>
          <w:lang w:val="es-ES" w:eastAsia="es-ES"/>
        </w:rPr>
        <w:t xml:space="preserve">A efecto de ilustrar meritoriamente el tema de principal relevancia en cuanto al Caso de manas, vale traer a colación criterios frescos y prácticos sobre la Figura de la CADUCIDAD DE LOS PROCEDIMIENTOS ADMINISTRATIVOS, haciendo uso de diversos Dictámenes de la Procuraduría General de la República y de Fallos de la Sala Primera de la Corte Suprema de Justicia. </w:t>
      </w:r>
      <w:r>
        <w:rPr>
          <w:i/>
          <w:iCs/>
          <w:sz w:val="26"/>
          <w:szCs w:val="26"/>
          <w:lang w:val="es-ES" w:eastAsia="es-ES"/>
        </w:rPr>
        <w:t>Veamos así:</w:t>
      </w:r>
    </w:p>
    <w:p w:rsidR="00592D71" w:rsidRDefault="00592D71" w:rsidP="00592D71">
      <w:pPr>
        <w:kinsoku w:val="0"/>
        <w:overflowPunct w:val="0"/>
        <w:autoSpaceDE/>
        <w:autoSpaceDN/>
        <w:adjustRightInd/>
        <w:spacing w:before="288" w:line="308" w:lineRule="exact"/>
        <w:ind w:firstLine="720"/>
        <w:jc w:val="both"/>
        <w:textAlignment w:val="baseline"/>
        <w:rPr>
          <w:b/>
          <w:bCs/>
          <w:i/>
          <w:iCs/>
          <w:sz w:val="26"/>
          <w:szCs w:val="26"/>
          <w:lang w:val="es-ES" w:eastAsia="es-ES"/>
        </w:rPr>
      </w:pPr>
      <w:r>
        <w:rPr>
          <w:b/>
          <w:bCs/>
          <w:i/>
          <w:iCs/>
          <w:sz w:val="26"/>
          <w:szCs w:val="26"/>
          <w:lang w:val="es-ES" w:eastAsia="es-ES"/>
        </w:rPr>
        <w:t>Dictamen No. C-205-2010 de la Procuraduría General de la República, de fecha 04 de Octubre de 2010:</w:t>
      </w:r>
    </w:p>
    <w:p w:rsidR="00592D71" w:rsidRDefault="00592D71" w:rsidP="00592D71">
      <w:pPr>
        <w:kinsoku w:val="0"/>
        <w:overflowPunct w:val="0"/>
        <w:autoSpaceDE/>
        <w:autoSpaceDN/>
        <w:adjustRightInd/>
        <w:spacing w:before="285" w:line="301" w:lineRule="exact"/>
        <w:ind w:left="576"/>
        <w:textAlignment w:val="baseline"/>
        <w:rPr>
          <w:b/>
          <w:bCs/>
          <w:sz w:val="26"/>
          <w:szCs w:val="26"/>
          <w:lang w:val="es-ES" w:eastAsia="es-ES"/>
        </w:rPr>
      </w:pPr>
      <w:r>
        <w:rPr>
          <w:b/>
          <w:bCs/>
          <w:sz w:val="26"/>
          <w:szCs w:val="26"/>
          <w:lang w:val="es-ES" w:eastAsia="es-ES"/>
        </w:rPr>
        <w:t>... "E.- Caducidad del Procedimiento Administrativo.</w:t>
      </w:r>
    </w:p>
    <w:p w:rsidR="00592D71" w:rsidRDefault="00592D71" w:rsidP="00592D71">
      <w:pPr>
        <w:kinsoku w:val="0"/>
        <w:overflowPunct w:val="0"/>
        <w:autoSpaceDE/>
        <w:autoSpaceDN/>
        <w:adjustRightInd/>
        <w:spacing w:before="289" w:line="297" w:lineRule="exact"/>
        <w:ind w:left="576" w:right="648"/>
        <w:jc w:val="both"/>
        <w:textAlignment w:val="baseline"/>
        <w:rPr>
          <w:sz w:val="26"/>
          <w:szCs w:val="26"/>
          <w:lang w:val="es-ES" w:eastAsia="es-ES"/>
        </w:rPr>
      </w:pPr>
      <w:r>
        <w:rPr>
          <w:sz w:val="26"/>
          <w:szCs w:val="26"/>
          <w:lang w:val="es-ES" w:eastAsia="es-ES"/>
        </w:rPr>
        <w:t>Con respecto al instituto jurídico extintivo de la caducidad del procedimiento administrativo (art. 340 LGAP), interesa indicar lo siguiente:</w:t>
      </w:r>
    </w:p>
    <w:p w:rsidR="00592D71" w:rsidRDefault="00592D71" w:rsidP="00592D71">
      <w:pPr>
        <w:kinsoku w:val="0"/>
        <w:overflowPunct w:val="0"/>
        <w:autoSpaceDE/>
        <w:autoSpaceDN/>
        <w:adjustRightInd/>
        <w:spacing w:before="303" w:line="297" w:lineRule="exact"/>
        <w:ind w:left="576" w:right="648"/>
        <w:jc w:val="both"/>
        <w:textAlignment w:val="baseline"/>
        <w:rPr>
          <w:spacing w:val="1"/>
          <w:sz w:val="26"/>
          <w:szCs w:val="26"/>
          <w:lang w:val="es-ES" w:eastAsia="es-ES"/>
        </w:rPr>
      </w:pPr>
      <w:r>
        <w:rPr>
          <w:spacing w:val="1"/>
          <w:sz w:val="26"/>
          <w:szCs w:val="26"/>
          <w:lang w:val="es-ES" w:eastAsia="es-ES"/>
        </w:rPr>
        <w:t>"</w:t>
      </w:r>
      <w:proofErr w:type="spellStart"/>
      <w:r>
        <w:rPr>
          <w:spacing w:val="1"/>
          <w:sz w:val="26"/>
          <w:szCs w:val="26"/>
          <w:lang w:val="es-ES" w:eastAsia="es-ES"/>
        </w:rPr>
        <w:t>Aún</w:t>
      </w:r>
      <w:proofErr w:type="spellEnd"/>
      <w:r>
        <w:rPr>
          <w:spacing w:val="1"/>
          <w:sz w:val="26"/>
          <w:szCs w:val="26"/>
          <w:lang w:val="es-ES" w:eastAsia="es-ES"/>
        </w:rPr>
        <w:t xml:space="preserve"> cuando la Administración está obligada a impulsar oficiosamente el procedimiento —artículo 222.1 de la LGAP- hasta culminarlo con el dictado del acto final, con base en el sistema general del procedimiento administrativo, originalmente previsto por la Ley General en su artículo 340, la figura extintiva de la caducidad operaba únicamente en aquellos procedimientos incoados a instancia de parte, cuando la paralización del expediente se producía precisamente por causa imputable al propio administrado, de suerte que la inactividad de la Administración, aún en los procedimientos oficiosos, no podía provocar la caducidad del procedimiento aunque diera lugar a otras consecuencias como lo son la responsabilidad personal del funcionario o de la propia Administración causante de la grave o injustificada demora (arts. 114.2, 199, 225, 222.2 y 263.2 de la LGAP), el silencio administrativo (arts. 261.3 y 330 Ibídem) o incluso, como garantía sustantiva del administrado, el transcurso del plazo de prescripción, el cual impediría definitivamente en procedimientos sancionadores, imponer legítimamente la sanción respectiva.</w:t>
      </w:r>
    </w:p>
    <w:p w:rsidR="00592D71" w:rsidRDefault="00592D71" w:rsidP="00592D71">
      <w:pPr>
        <w:widowControl/>
        <w:rPr>
          <w:sz w:val="24"/>
          <w:szCs w:val="24"/>
        </w:rPr>
        <w:sectPr w:rsidR="00592D71">
          <w:pgSz w:w="12288" w:h="15706"/>
          <w:pgMar w:top="1580" w:right="1706" w:bottom="1044" w:left="1624" w:header="720" w:footer="720" w:gutter="0"/>
          <w:cols w:space="720"/>
          <w:noEndnote/>
        </w:sectPr>
      </w:pPr>
    </w:p>
    <w:p w:rsidR="00592D71" w:rsidRDefault="00592D71" w:rsidP="00592D71">
      <w:pPr>
        <w:kinsoku w:val="0"/>
        <w:overflowPunct w:val="0"/>
        <w:autoSpaceDE/>
        <w:autoSpaceDN/>
        <w:adjustRightInd/>
        <w:spacing w:before="4" w:line="298" w:lineRule="exact"/>
        <w:ind w:left="72"/>
        <w:jc w:val="both"/>
        <w:textAlignment w:val="baseline"/>
        <w:rPr>
          <w:spacing w:val="2"/>
          <w:sz w:val="26"/>
          <w:szCs w:val="26"/>
          <w:lang w:val="es-ES" w:eastAsia="es-ES"/>
        </w:rPr>
      </w:pPr>
      <w:r>
        <w:rPr>
          <w:spacing w:val="2"/>
          <w:sz w:val="26"/>
          <w:szCs w:val="26"/>
          <w:lang w:val="es-ES" w:eastAsia="es-ES"/>
        </w:rPr>
        <w:lastRenderedPageBreak/>
        <w:t>Sin embargo, en vista de la notoria asimetría que presentaba la citada regulación originaria contenida al respecto en la LGAP, acatando la prudente sugerencia de la doctrina moderna y en aras de poner fin a largos e interminables procedimientos administrativos que atentaban contra la seguridad jurídica de los particulares, se optó por introducir una reforma sustancial al ordinal 340 de la LGAP por el artículo 200 inciso 10) del Código Procesal Administrativo —Ley N° 8508 de 28 de abril de 2006, que prevé la aplicación de la figura extintiva de la caducidad como causal anormal de terminación del procedimiento administrativo, también en los procesos incoados oficiosamente, por inactividad administrativa.</w:t>
      </w:r>
    </w:p>
    <w:p w:rsidR="00592D71" w:rsidRDefault="00592D71" w:rsidP="00592D71">
      <w:pPr>
        <w:kinsoku w:val="0"/>
        <w:overflowPunct w:val="0"/>
        <w:autoSpaceDE/>
        <w:autoSpaceDN/>
        <w:adjustRightInd/>
        <w:spacing w:before="289" w:line="298" w:lineRule="exact"/>
        <w:ind w:left="72"/>
        <w:textAlignment w:val="baseline"/>
        <w:rPr>
          <w:sz w:val="26"/>
          <w:szCs w:val="26"/>
          <w:lang w:val="es-ES" w:eastAsia="es-ES"/>
        </w:rPr>
      </w:pPr>
      <w:r>
        <w:rPr>
          <w:sz w:val="26"/>
          <w:szCs w:val="26"/>
          <w:lang w:val="es-ES" w:eastAsia="es-ES"/>
        </w:rPr>
        <w:t>Dicho numeral dispone actualmente lo siguiente:</w:t>
      </w:r>
    </w:p>
    <w:p w:rsidR="00592D71" w:rsidRDefault="00592D71" w:rsidP="00592D71">
      <w:pPr>
        <w:kinsoku w:val="0"/>
        <w:overflowPunct w:val="0"/>
        <w:autoSpaceDE/>
        <w:autoSpaceDN/>
        <w:adjustRightInd/>
        <w:spacing w:before="303" w:line="296" w:lineRule="exact"/>
        <w:ind w:left="72"/>
        <w:textAlignment w:val="baseline"/>
        <w:rPr>
          <w:i/>
          <w:iCs/>
          <w:sz w:val="26"/>
          <w:szCs w:val="26"/>
          <w:lang w:val="es-ES" w:eastAsia="es-ES"/>
        </w:rPr>
      </w:pPr>
      <w:r>
        <w:rPr>
          <w:i/>
          <w:iCs/>
          <w:sz w:val="26"/>
          <w:szCs w:val="26"/>
          <w:lang w:val="es-ES" w:eastAsia="es-ES"/>
        </w:rPr>
        <w:t>"De la Caducidad del Procedimiento</w:t>
      </w:r>
    </w:p>
    <w:p w:rsidR="00592D71" w:rsidRDefault="00592D71" w:rsidP="00592D71">
      <w:pPr>
        <w:kinsoku w:val="0"/>
        <w:overflowPunct w:val="0"/>
        <w:autoSpaceDE/>
        <w:autoSpaceDN/>
        <w:adjustRightInd/>
        <w:spacing w:before="306" w:line="296" w:lineRule="exact"/>
        <w:ind w:left="72"/>
        <w:textAlignment w:val="baseline"/>
        <w:rPr>
          <w:sz w:val="24"/>
          <w:szCs w:val="24"/>
          <w:lang w:eastAsia="en-US"/>
        </w:rPr>
      </w:pPr>
      <w:r>
        <w:rPr>
          <w:i/>
          <w:iCs/>
          <w:spacing w:val="-2"/>
          <w:sz w:val="26"/>
          <w:szCs w:val="26"/>
          <w:lang w:val="es-ES" w:eastAsia="es-ES"/>
        </w:rPr>
        <w:t>Artículo 340.</w:t>
      </w:r>
      <w:r>
        <w:rPr>
          <w:i/>
          <w:iCs/>
          <w:spacing w:val="-2"/>
          <w:sz w:val="26"/>
          <w:szCs w:val="26"/>
          <w:lang w:val="es-ES" w:eastAsia="es-ES"/>
        </w:rPr>
        <w:noBreakHyphen/>
      </w:r>
    </w:p>
    <w:p w:rsidR="00592D71" w:rsidRDefault="00592D71" w:rsidP="00592D71">
      <w:pPr>
        <w:numPr>
          <w:ilvl w:val="0"/>
          <w:numId w:val="4"/>
        </w:numPr>
        <w:kinsoku w:val="0"/>
        <w:overflowPunct w:val="0"/>
        <w:autoSpaceDE/>
        <w:autoSpaceDN/>
        <w:adjustRightInd/>
        <w:spacing w:before="293" w:line="296" w:lineRule="exact"/>
        <w:jc w:val="both"/>
        <w:textAlignment w:val="baseline"/>
        <w:rPr>
          <w:i/>
          <w:iCs/>
          <w:spacing w:val="-1"/>
          <w:sz w:val="26"/>
          <w:szCs w:val="26"/>
          <w:lang w:val="es-ES" w:eastAsia="es-ES"/>
        </w:rPr>
      </w:pPr>
      <w:r>
        <w:rPr>
          <w:i/>
          <w:iCs/>
          <w:spacing w:val="-1"/>
          <w:sz w:val="26"/>
          <w:szCs w:val="26"/>
          <w:lang w:val="es-ES" w:eastAsia="es-ES"/>
        </w:rPr>
        <w:t>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w:t>
      </w:r>
    </w:p>
    <w:p w:rsidR="00592D71" w:rsidRDefault="00592D71" w:rsidP="00592D71">
      <w:pPr>
        <w:numPr>
          <w:ilvl w:val="0"/>
          <w:numId w:val="4"/>
        </w:numPr>
        <w:kinsoku w:val="0"/>
        <w:overflowPunct w:val="0"/>
        <w:autoSpaceDE/>
        <w:autoSpaceDN/>
        <w:adjustRightInd/>
        <w:spacing w:before="299" w:line="298" w:lineRule="exact"/>
        <w:jc w:val="both"/>
        <w:textAlignment w:val="baseline"/>
        <w:rPr>
          <w:i/>
          <w:iCs/>
          <w:sz w:val="26"/>
          <w:szCs w:val="26"/>
          <w:lang w:val="es-ES" w:eastAsia="es-ES"/>
        </w:rPr>
      </w:pPr>
      <w:r>
        <w:rPr>
          <w:i/>
          <w:iCs/>
          <w:sz w:val="26"/>
          <w:szCs w:val="26"/>
          <w:lang w:val="es-ES" w:eastAsia="es-ES"/>
        </w:rPr>
        <w:t>No procederá la caducidad del procedimiento iniciado a gestión de parte, cuando el interesado haya dejado de gestionar por haberse operado el silencio positivo o negativo, o cuando el expediente se encuentre listo para dictar el acto final.</w:t>
      </w:r>
    </w:p>
    <w:p w:rsidR="00592D71" w:rsidRDefault="00592D71" w:rsidP="00592D71">
      <w:pPr>
        <w:numPr>
          <w:ilvl w:val="0"/>
          <w:numId w:val="4"/>
        </w:numPr>
        <w:kinsoku w:val="0"/>
        <w:overflowPunct w:val="0"/>
        <w:autoSpaceDE/>
        <w:autoSpaceDN/>
        <w:adjustRightInd/>
        <w:spacing w:before="286" w:line="295" w:lineRule="exact"/>
        <w:jc w:val="both"/>
        <w:textAlignment w:val="baseline"/>
        <w:rPr>
          <w:i/>
          <w:iCs/>
          <w:spacing w:val="3"/>
          <w:sz w:val="26"/>
          <w:szCs w:val="26"/>
          <w:lang w:val="es-ES" w:eastAsia="es-ES"/>
        </w:rPr>
      </w:pPr>
      <w:r>
        <w:rPr>
          <w:i/>
          <w:iCs/>
          <w:spacing w:val="3"/>
          <w:sz w:val="26"/>
          <w:szCs w:val="26"/>
          <w:lang w:val="es-ES" w:eastAsia="es-ES"/>
        </w:rPr>
        <w:t>La caducidad del procedimiento administrativo no extingue el derecho de las partes; pero los procedimientos se tienen por no seguidos, para los efectos de interrumpir la prescripción.</w:t>
      </w:r>
    </w:p>
    <w:p w:rsidR="00592D71" w:rsidRDefault="00592D71" w:rsidP="00592D71">
      <w:pPr>
        <w:kinsoku w:val="0"/>
        <w:overflowPunct w:val="0"/>
        <w:autoSpaceDE/>
        <w:autoSpaceDN/>
        <w:adjustRightInd/>
        <w:spacing w:before="289" w:line="302" w:lineRule="exact"/>
        <w:ind w:left="72"/>
        <w:jc w:val="both"/>
        <w:textAlignment w:val="baseline"/>
        <w:rPr>
          <w:i/>
          <w:iCs/>
          <w:sz w:val="26"/>
          <w:szCs w:val="26"/>
          <w:lang w:val="es-ES" w:eastAsia="es-ES"/>
        </w:rPr>
      </w:pPr>
      <w:r>
        <w:rPr>
          <w:i/>
          <w:iCs/>
          <w:sz w:val="26"/>
          <w:szCs w:val="26"/>
          <w:lang w:val="es-ES" w:eastAsia="es-ES"/>
        </w:rPr>
        <w:t>(Así reformado por el artículo 200, incido 10) de la Ley N° 8508 de 28 de abril de 2006, Código Procesal Contencioso-Administrativo)."</w:t>
      </w:r>
    </w:p>
    <w:p w:rsidR="00592D71" w:rsidRDefault="00592D71" w:rsidP="00592D71">
      <w:pPr>
        <w:kinsoku w:val="0"/>
        <w:overflowPunct w:val="0"/>
        <w:autoSpaceDE/>
        <w:autoSpaceDN/>
        <w:adjustRightInd/>
        <w:spacing w:before="309" w:after="505" w:line="298" w:lineRule="exact"/>
        <w:ind w:left="72"/>
        <w:jc w:val="both"/>
        <w:textAlignment w:val="baseline"/>
        <w:rPr>
          <w:sz w:val="26"/>
          <w:szCs w:val="26"/>
          <w:lang w:val="es-ES" w:eastAsia="es-ES"/>
        </w:rPr>
      </w:pPr>
      <w:r>
        <w:rPr>
          <w:sz w:val="26"/>
          <w:szCs w:val="26"/>
          <w:lang w:val="es-ES" w:eastAsia="es-ES"/>
        </w:rPr>
        <w:t>Como puede inferirse, se establece un plazo máximo de 6 meses de inercia procesal injustificada que daría lugar a la extinción del procedimiento administrativo, con la subsecuente eliminación del deber de resolver y el archivo de actuaciones particulares, en aquellos casos</w:t>
      </w:r>
    </w:p>
    <w:p w:rsidR="00592D71" w:rsidRDefault="00592D71" w:rsidP="00592D71">
      <w:pPr>
        <w:widowControl/>
        <w:rPr>
          <w:sz w:val="24"/>
          <w:szCs w:val="24"/>
        </w:rPr>
        <w:sectPr w:rsidR="00592D71">
          <w:pgSz w:w="12288" w:h="15706"/>
          <w:pgMar w:top="1880" w:right="2305" w:bottom="250" w:left="2203" w:header="720" w:footer="720" w:gutter="0"/>
          <w:cols w:space="720"/>
          <w:noEndnote/>
        </w:sectPr>
      </w:pPr>
    </w:p>
    <w:p w:rsidR="006A5040" w:rsidRDefault="006A5040" w:rsidP="00592D71">
      <w:pPr>
        <w:kinsoku w:val="0"/>
        <w:overflowPunct w:val="0"/>
        <w:autoSpaceDE/>
        <w:autoSpaceDN/>
        <w:adjustRightInd/>
        <w:spacing w:line="754" w:lineRule="exact"/>
        <w:textAlignment w:val="baseline"/>
        <w:rPr>
          <w:rFonts w:ascii="Garamond" w:hAnsi="Garamond" w:cs="Garamond"/>
          <w:i/>
          <w:iCs/>
          <w:spacing w:val="-3"/>
          <w:w w:val="120"/>
          <w:sz w:val="42"/>
          <w:szCs w:val="42"/>
          <w:lang w:val="es-ES" w:eastAsia="es-ES"/>
        </w:rPr>
      </w:pPr>
    </w:p>
    <w:p w:rsidR="00592D71" w:rsidRDefault="00592D71" w:rsidP="00592D71">
      <w:pPr>
        <w:widowControl/>
        <w:rPr>
          <w:sz w:val="24"/>
          <w:szCs w:val="24"/>
        </w:rPr>
        <w:sectPr w:rsidR="00592D71">
          <w:type w:val="continuous"/>
          <w:pgSz w:w="12288" w:h="15706"/>
          <w:pgMar w:top="1880" w:right="1540" w:bottom="250" w:left="7848" w:header="720" w:footer="720" w:gutter="0"/>
          <w:cols w:space="720"/>
          <w:noEndnote/>
        </w:sectPr>
      </w:pPr>
    </w:p>
    <w:p w:rsidR="00592D71" w:rsidRDefault="00592D71" w:rsidP="00592D71">
      <w:pPr>
        <w:kinsoku w:val="0"/>
        <w:overflowPunct w:val="0"/>
        <w:autoSpaceDE/>
        <w:autoSpaceDN/>
        <w:adjustRightInd/>
        <w:spacing w:before="2" w:line="296" w:lineRule="exact"/>
        <w:ind w:left="576" w:right="648"/>
        <w:jc w:val="both"/>
        <w:textAlignment w:val="baseline"/>
        <w:rPr>
          <w:sz w:val="26"/>
          <w:szCs w:val="26"/>
          <w:lang w:val="es-ES" w:eastAsia="es-ES"/>
        </w:rPr>
      </w:pPr>
      <w:r>
        <w:rPr>
          <w:noProof/>
          <w:lang w:val="es-CR"/>
        </w:rPr>
        <w:lastRenderedPageBreak/>
        <mc:AlternateContent>
          <mc:Choice Requires="wps">
            <w:drawing>
              <wp:anchor distT="0" distB="0" distL="0" distR="0" simplePos="0" relativeHeight="251661312" behindDoc="0" locked="0" layoutInCell="0" allowOverlap="1">
                <wp:simplePos x="0" y="0"/>
                <wp:positionH relativeFrom="column">
                  <wp:posOffset>3948430</wp:posOffset>
                </wp:positionH>
                <wp:positionV relativeFrom="paragraph">
                  <wp:posOffset>7981950</wp:posOffset>
                </wp:positionV>
                <wp:extent cx="1987550" cy="548640"/>
                <wp:effectExtent l="4445" t="6350" r="8255" b="6985"/>
                <wp:wrapSquare wrapText="bothSides"/>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548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107"/>
                              <w:gridCol w:w="1023"/>
                            </w:tblGrid>
                            <w:tr w:rsidR="00592D71">
                              <w:trPr>
                                <w:trHeight w:hRule="exact" w:val="864"/>
                              </w:trPr>
                              <w:tc>
                                <w:tcPr>
                                  <w:tcW w:w="2107" w:type="dxa"/>
                                  <w:tcBorders>
                                    <w:top w:val="nil"/>
                                    <w:left w:val="nil"/>
                                    <w:bottom w:val="nil"/>
                                    <w:right w:val="nil"/>
                                  </w:tcBorders>
                                  <w:vAlign w:val="center"/>
                                </w:tcPr>
                                <w:p w:rsidR="00592D71" w:rsidRDefault="00592D71">
                                  <w:pPr>
                                    <w:kinsoku w:val="0"/>
                                    <w:overflowPunct w:val="0"/>
                                    <w:autoSpaceDE/>
                                    <w:autoSpaceDN/>
                                    <w:adjustRightInd/>
                                    <w:spacing w:before="304" w:after="339" w:line="220" w:lineRule="exact"/>
                                    <w:ind w:right="273"/>
                                    <w:jc w:val="right"/>
                                    <w:textAlignment w:val="baseline"/>
                                    <w:rPr>
                                      <w:i/>
                                      <w:iCs/>
                                      <w:spacing w:val="-17"/>
                                      <w:sz w:val="21"/>
                                      <w:szCs w:val="21"/>
                                      <w:lang w:val="es-ES" w:eastAsia="es-ES"/>
                                    </w:rPr>
                                  </w:pPr>
                                </w:p>
                              </w:tc>
                              <w:tc>
                                <w:tcPr>
                                  <w:tcW w:w="1023" w:type="dxa"/>
                                  <w:tcBorders>
                                    <w:top w:val="nil"/>
                                    <w:left w:val="nil"/>
                                    <w:bottom w:val="nil"/>
                                    <w:right w:val="nil"/>
                                  </w:tcBorders>
                                </w:tcPr>
                                <w:p w:rsidR="00592D71" w:rsidRDefault="00592D71">
                                  <w:pPr>
                                    <w:kinsoku w:val="0"/>
                                    <w:overflowPunct w:val="0"/>
                                    <w:autoSpaceDE/>
                                    <w:autoSpaceDN/>
                                    <w:adjustRightInd/>
                                    <w:jc w:val="center"/>
                                    <w:textAlignment w:val="baseline"/>
                                    <w:rPr>
                                      <w:sz w:val="24"/>
                                      <w:szCs w:val="24"/>
                                    </w:rPr>
                                  </w:pPr>
                                </w:p>
                              </w:tc>
                            </w:tr>
                          </w:tbl>
                          <w:p w:rsidR="00592D71" w:rsidRDefault="00592D71" w:rsidP="00592D7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27" type="#_x0000_t202" style="position:absolute;left:0;text-align:left;margin-left:310.9pt;margin-top:628.5pt;width:156.5pt;height:43.2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&#1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2107"/>
                        <w:gridCol w:w="1023"/>
                      </w:tblGrid>
                      <w:tr w:rsidR="00592D71">
                        <w:trPr>
                          <w:trHeight w:hRule="exact" w:val="864"/>
                        </w:trPr>
                        <w:tc>
                          <w:tcPr>
                            <w:tcW w:w="2107" w:type="dxa"/>
                            <w:tcBorders>
                              <w:top w:val="nil"/>
                              <w:left w:val="nil"/>
                              <w:bottom w:val="nil"/>
                              <w:right w:val="nil"/>
                            </w:tcBorders>
                            <w:vAlign w:val="center"/>
                          </w:tcPr>
                          <w:p w:rsidR="00592D71" w:rsidRDefault="00592D71">
                            <w:pPr>
                              <w:kinsoku w:val="0"/>
                              <w:overflowPunct w:val="0"/>
                              <w:autoSpaceDE/>
                              <w:autoSpaceDN/>
                              <w:adjustRightInd/>
                              <w:spacing w:before="304" w:after="339" w:line="220" w:lineRule="exact"/>
                              <w:ind w:right="273"/>
                              <w:jc w:val="right"/>
                              <w:textAlignment w:val="baseline"/>
                              <w:rPr>
                                <w:i/>
                                <w:iCs/>
                                <w:spacing w:val="-17"/>
                                <w:sz w:val="21"/>
                                <w:szCs w:val="21"/>
                                <w:lang w:val="es-ES" w:eastAsia="es-ES"/>
                              </w:rPr>
                            </w:pPr>
                          </w:p>
                        </w:tc>
                        <w:tc>
                          <w:tcPr>
                            <w:tcW w:w="1023" w:type="dxa"/>
                            <w:tcBorders>
                              <w:top w:val="nil"/>
                              <w:left w:val="nil"/>
                              <w:bottom w:val="nil"/>
                              <w:right w:val="nil"/>
                            </w:tcBorders>
                          </w:tcPr>
                          <w:p w:rsidR="00592D71" w:rsidRDefault="00592D71">
                            <w:pPr>
                              <w:kinsoku w:val="0"/>
                              <w:overflowPunct w:val="0"/>
                              <w:autoSpaceDE/>
                              <w:autoSpaceDN/>
                              <w:adjustRightInd/>
                              <w:jc w:val="center"/>
                              <w:textAlignment w:val="baseline"/>
                              <w:rPr>
                                <w:sz w:val="24"/>
                                <w:szCs w:val="24"/>
                              </w:rPr>
                            </w:pPr>
                          </w:p>
                        </w:tc>
                      </w:tr>
                    </w:tbl>
                    <w:p w:rsidR="00592D71" w:rsidRDefault="00592D71" w:rsidP="00592D71">
                      <w:pPr>
                        <w:kinsoku w:val="0"/>
                        <w:overflowPunct w:val="0"/>
                        <w:autoSpaceDE/>
                        <w:autoSpaceDN/>
                        <w:adjustRightInd/>
                        <w:textAlignment w:val="baseline"/>
                        <w:rPr>
                          <w:sz w:val="24"/>
                          <w:szCs w:val="24"/>
                        </w:rPr>
                      </w:pPr>
                    </w:p>
                  </w:txbxContent>
                </v:textbox>
                <w10:wrap type="square"/>
              </v:shape>
            </w:pict>
          </mc:Fallback>
        </mc:AlternateContent>
      </w:r>
      <w:r>
        <w:rPr>
          <w:sz w:val="26"/>
          <w:szCs w:val="26"/>
          <w:lang w:val="es-ES" w:eastAsia="es-ES"/>
        </w:rPr>
        <w:t>como el consultado, en los que la Administración ejerce oficiosamente potestades sancionadoras susceptibles de producir efectos desfavorables</w:t>
      </w:r>
    </w:p>
    <w:p w:rsidR="00592D71" w:rsidRDefault="00592D71" w:rsidP="006A5040">
      <w:pPr>
        <w:kinsoku w:val="0"/>
        <w:overflowPunct w:val="0"/>
        <w:autoSpaceDE/>
        <w:autoSpaceDN/>
        <w:adjustRightInd/>
        <w:spacing w:line="299" w:lineRule="exact"/>
        <w:ind w:left="576" w:right="648"/>
        <w:jc w:val="both"/>
        <w:textAlignment w:val="baseline"/>
        <w:rPr>
          <w:sz w:val="26"/>
          <w:szCs w:val="26"/>
          <w:lang w:val="es-ES" w:eastAsia="es-ES"/>
        </w:rPr>
      </w:pPr>
      <w:r>
        <w:rPr>
          <w:sz w:val="26"/>
          <w:szCs w:val="26"/>
          <w:lang w:val="es-ES" w:eastAsia="es-ES"/>
        </w:rPr>
        <w:t xml:space="preserve">de gravamen en cabeza de los administrados." (Dictamen C-044-2010 </w:t>
      </w:r>
      <w:proofErr w:type="spellStart"/>
      <w:r>
        <w:rPr>
          <w:sz w:val="26"/>
          <w:szCs w:val="26"/>
          <w:lang w:val="es-ES" w:eastAsia="es-ES"/>
        </w:rPr>
        <w:t>op</w:t>
      </w:r>
      <w:proofErr w:type="spellEnd"/>
      <w:r>
        <w:rPr>
          <w:sz w:val="26"/>
          <w:szCs w:val="26"/>
          <w:lang w:val="es-ES" w:eastAsia="es-ES"/>
        </w:rPr>
        <w:t>. cit.)."...</w:t>
      </w:r>
    </w:p>
    <w:p w:rsidR="00592D71" w:rsidRDefault="00592D71" w:rsidP="00592D71">
      <w:pPr>
        <w:kinsoku w:val="0"/>
        <w:overflowPunct w:val="0"/>
        <w:autoSpaceDE/>
        <w:autoSpaceDN/>
        <w:adjustRightInd/>
        <w:spacing w:before="270" w:line="317" w:lineRule="exact"/>
        <w:ind w:firstLine="648"/>
        <w:jc w:val="both"/>
        <w:textAlignment w:val="baseline"/>
        <w:rPr>
          <w:b/>
          <w:bCs/>
          <w:spacing w:val="1"/>
          <w:sz w:val="26"/>
          <w:szCs w:val="26"/>
          <w:lang w:val="es-ES" w:eastAsia="es-ES"/>
        </w:rPr>
      </w:pPr>
      <w:r>
        <w:rPr>
          <w:b/>
          <w:bCs/>
          <w:spacing w:val="1"/>
          <w:sz w:val="26"/>
          <w:szCs w:val="26"/>
          <w:lang w:val="es-ES" w:eastAsia="es-ES"/>
        </w:rPr>
        <w:t>Resolución 2013-01001 de la Sala Primera de la Corte Suprema de Justicia:</w:t>
      </w:r>
    </w:p>
    <w:p w:rsidR="00592D71" w:rsidRDefault="00592D71" w:rsidP="006A5040">
      <w:pPr>
        <w:kinsoku w:val="0"/>
        <w:overflowPunct w:val="0"/>
        <w:autoSpaceDE/>
        <w:autoSpaceDN/>
        <w:adjustRightInd/>
        <w:spacing w:before="271" w:line="298" w:lineRule="exact"/>
        <w:ind w:left="576" w:right="648"/>
        <w:jc w:val="both"/>
        <w:textAlignment w:val="baseline"/>
        <w:rPr>
          <w:i/>
          <w:iCs/>
          <w:sz w:val="26"/>
          <w:szCs w:val="26"/>
          <w:lang w:val="es-ES" w:eastAsia="es-ES"/>
        </w:rPr>
      </w:pPr>
      <w:r>
        <w:rPr>
          <w:sz w:val="26"/>
          <w:szCs w:val="26"/>
          <w:lang w:val="es-ES" w:eastAsia="es-ES"/>
        </w:rPr>
        <w:t xml:space="preserve">..." IV. - Sobre la caducidad del procedimiento administrativo cabe mencionar que La figura de la caducidad se encuentra regulada en el canon 340 de la LGAP, norma que fue reformada por el canon 200 inciso 10 del CPCA. Dicha norma indica: </w:t>
      </w:r>
      <w:r>
        <w:rPr>
          <w:i/>
          <w:iCs/>
          <w:sz w:val="26"/>
          <w:szCs w:val="26"/>
          <w:lang w:val="es-ES" w:eastAsia="es-ES"/>
        </w:rPr>
        <w:t xml:space="preserve">"1)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w:t>
      </w:r>
      <w:r>
        <w:rPr>
          <w:sz w:val="26"/>
          <w:szCs w:val="26"/>
          <w:lang w:val="es-ES" w:eastAsia="es-ES"/>
        </w:rPr>
        <w:t xml:space="preserve">(se refiere a la misma LGAP y no al CPCA). </w:t>
      </w:r>
      <w:r>
        <w:rPr>
          <w:i/>
          <w:iCs/>
          <w:sz w:val="26"/>
          <w:szCs w:val="26"/>
          <w:lang w:val="es-ES" w:eastAsia="es-ES"/>
        </w:rPr>
        <w:t>2) No procederá la caducidad del procedimiento iniciado a gestión de parte, cuando el interesado haya dejado de gestionar por haberse operado el silencio positivo o negativo,</w:t>
      </w:r>
      <w:r w:rsidR="006A5040">
        <w:rPr>
          <w:i/>
          <w:iCs/>
          <w:sz w:val="26"/>
          <w:szCs w:val="26"/>
          <w:lang w:val="es-ES" w:eastAsia="es-ES"/>
        </w:rPr>
        <w:t xml:space="preserve"> o </w:t>
      </w:r>
      <w:r>
        <w:rPr>
          <w:i/>
          <w:iCs/>
          <w:sz w:val="26"/>
          <w:szCs w:val="26"/>
          <w:lang w:val="es-ES" w:eastAsia="es-ES"/>
        </w:rPr>
        <w:t>cuando el expediente se encuentre listo para dictar el acto final. 3) La caducidad del procedimiento administrativo no extingue el derecho de las partes; pero los procedimientos se tienen por no seguidos, para los efectos de interrumpir la prescripción."</w:t>
      </w:r>
    </w:p>
    <w:p w:rsidR="00592D71" w:rsidRDefault="00592D71" w:rsidP="00592D71">
      <w:pPr>
        <w:kinsoku w:val="0"/>
        <w:overflowPunct w:val="0"/>
        <w:autoSpaceDE/>
        <w:autoSpaceDN/>
        <w:adjustRightInd/>
        <w:spacing w:before="282" w:line="298" w:lineRule="exact"/>
        <w:ind w:left="576" w:right="648"/>
        <w:jc w:val="both"/>
        <w:textAlignment w:val="baseline"/>
        <w:rPr>
          <w:spacing w:val="4"/>
          <w:sz w:val="26"/>
          <w:szCs w:val="26"/>
          <w:lang w:val="es-ES" w:eastAsia="es-ES"/>
        </w:rPr>
      </w:pPr>
      <w:r>
        <w:rPr>
          <w:spacing w:val="4"/>
          <w:sz w:val="26"/>
          <w:szCs w:val="26"/>
          <w:lang w:val="es-ES" w:eastAsia="es-ES"/>
        </w:rPr>
        <w:t>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del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un espacio de, al menos, seis meses. Esto último exige que la inercia sea de seis meses al menos, es decir, no se constituye como un plazo máximo para actuar, sino como límite temporal mínimo de inercia, ergo, debe computarse desde la última</w:t>
      </w:r>
    </w:p>
    <w:p w:rsidR="00592D71" w:rsidRDefault="00592D71" w:rsidP="00592D71">
      <w:pPr>
        <w:widowControl/>
        <w:rPr>
          <w:sz w:val="24"/>
          <w:szCs w:val="24"/>
        </w:rPr>
        <w:sectPr w:rsidR="00592D71">
          <w:pgSz w:w="12298" w:h="15686"/>
          <w:pgMar w:top="1600" w:right="1691" w:bottom="1120" w:left="1649" w:header="720" w:footer="720" w:gutter="0"/>
          <w:cols w:space="720"/>
          <w:noEndnote/>
        </w:sectPr>
      </w:pPr>
    </w:p>
    <w:p w:rsidR="00592D71" w:rsidRDefault="00592D71" w:rsidP="00592D71">
      <w:pPr>
        <w:kinsoku w:val="0"/>
        <w:overflowPunct w:val="0"/>
        <w:autoSpaceDE/>
        <w:autoSpaceDN/>
        <w:adjustRightInd/>
        <w:spacing w:before="35" w:after="449" w:line="297" w:lineRule="exact"/>
        <w:ind w:left="144" w:right="1080"/>
        <w:jc w:val="both"/>
        <w:textAlignment w:val="baseline"/>
        <w:rPr>
          <w:spacing w:val="1"/>
          <w:sz w:val="26"/>
          <w:szCs w:val="26"/>
          <w:lang w:val="es-ES" w:eastAsia="es-ES"/>
        </w:rPr>
      </w:pPr>
      <w:r>
        <w:rPr>
          <w:spacing w:val="1"/>
          <w:sz w:val="26"/>
          <w:szCs w:val="26"/>
          <w:lang w:val="es-ES" w:eastAsia="es-ES"/>
        </w:rPr>
        <w:lastRenderedPageBreak/>
        <w:t xml:space="preserve">acción dentro del expediente y no desde la apertura del procedimiento. Ello supone que en los procedimientos instruidos de oficio, la caducidad es factible cuando concurran dichos presupuestos. Asimismo, sobre esta figura, recientemente, la Sala Primera de la Corte Suprema de Justicia, en el fallo 34-F-S1-2011 señaló en lo medular sobre el instituto de comentario: </w:t>
      </w:r>
      <w:r>
        <w:rPr>
          <w:i/>
          <w:iCs/>
          <w:spacing w:val="1"/>
          <w:sz w:val="26"/>
          <w:szCs w:val="26"/>
          <w:lang w:val="es-ES" w:eastAsia="es-ES"/>
        </w:rPr>
        <w:t xml:space="preserve">"En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"Empero, </w:t>
      </w:r>
      <w:r>
        <w:rPr>
          <w:spacing w:val="1"/>
          <w:sz w:val="26"/>
          <w:szCs w:val="26"/>
          <w:lang w:val="es-ES" w:eastAsia="es-ES"/>
        </w:rPr>
        <w:t>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 consecuencia procedimental. En el caso concreto, estima el Tribunal que</w:t>
      </w:r>
    </w:p>
    <w:p w:rsidR="00592D71" w:rsidRDefault="00592D71" w:rsidP="00592D71">
      <w:pPr>
        <w:widowControl/>
        <w:rPr>
          <w:sz w:val="24"/>
          <w:szCs w:val="24"/>
        </w:rPr>
        <w:sectPr w:rsidR="00592D71">
          <w:pgSz w:w="12312" w:h="15706"/>
          <w:pgMar w:top="1580" w:right="1247" w:bottom="233" w:left="2107" w:header="720" w:footer="720" w:gutter="0"/>
          <w:cols w:space="720"/>
          <w:noEndnote/>
        </w:sectPr>
      </w:pPr>
    </w:p>
    <w:p w:rsidR="00592D71" w:rsidRDefault="00592D71" w:rsidP="00592D71">
      <w:pPr>
        <w:kinsoku w:val="0"/>
        <w:overflowPunct w:val="0"/>
        <w:autoSpaceDE/>
        <w:autoSpaceDN/>
        <w:adjustRightInd/>
        <w:spacing w:before="2" w:line="304" w:lineRule="exact"/>
        <w:ind w:left="576" w:right="648"/>
        <w:jc w:val="both"/>
        <w:textAlignment w:val="baseline"/>
        <w:rPr>
          <w:b/>
          <w:bCs/>
          <w:sz w:val="26"/>
          <w:szCs w:val="26"/>
          <w:lang w:val="es-ES" w:eastAsia="es-ES"/>
        </w:rPr>
      </w:pPr>
      <w:r>
        <w:rPr>
          <w:noProof/>
          <w:lang w:val="es-CR"/>
        </w:rPr>
        <w:lastRenderedPageBreak/>
        <mc:AlternateContent>
          <mc:Choice Requires="wps">
            <w:drawing>
              <wp:anchor distT="0" distB="0" distL="0" distR="0" simplePos="0" relativeHeight="251662336" behindDoc="0" locked="0" layoutInCell="0" allowOverlap="1">
                <wp:simplePos x="0" y="0"/>
                <wp:positionH relativeFrom="column">
                  <wp:posOffset>3947160</wp:posOffset>
                </wp:positionH>
                <wp:positionV relativeFrom="paragraph">
                  <wp:posOffset>8058150</wp:posOffset>
                </wp:positionV>
                <wp:extent cx="1923415" cy="497205"/>
                <wp:effectExtent l="7620" t="3175" r="2540" b="4445"/>
                <wp:wrapSquare wrapText="bothSides"/>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497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71" w:rsidRDefault="00592D71" w:rsidP="00592D7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28" type="#_x0000_t202" style="position:absolute;left:0;text-align:left;margin-left:310.8pt;margin-top:634.5pt;width:151.45pt;height:39.1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" o:allowincell="f" stroked="f">
                <v:fill opacity="0"/>
                <v:textbox inset="0,0,0,0">
                  <w:txbxContent>
                    <w:p w:rsidR="00592D71" w:rsidRDefault="00592D71" w:rsidP="00592D71">
                      <w:pPr>
                        <w:kinsoku w:val="0"/>
                        <w:overflowPunct w:val="0"/>
                        <w:autoSpaceDE/>
                        <w:autoSpaceDN/>
                        <w:adjustRightInd/>
                        <w:textAlignment w:val="baseline"/>
                        <w:rPr>
                          <w:sz w:val="24"/>
                          <w:szCs w:val="24"/>
                        </w:rPr>
                      </w:pPr>
                    </w:p>
                  </w:txbxContent>
                </v:textbox>
                <w10:wrap type="square"/>
              </v:shape>
            </w:pict>
          </mc:Fallback>
        </mc:AlternateContent>
      </w:r>
      <w:r>
        <w:rPr>
          <w:sz w:val="26"/>
          <w:szCs w:val="26"/>
          <w:lang w:val="es-ES" w:eastAsia="es-ES"/>
        </w:rPr>
        <w:t xml:space="preserve">no concurren los elementos que permiten declarar la caducidad del procedimiento..."... </w:t>
      </w:r>
      <w:r>
        <w:rPr>
          <w:b/>
          <w:bCs/>
          <w:sz w:val="26"/>
          <w:szCs w:val="26"/>
          <w:lang w:val="es-ES" w:eastAsia="es-ES"/>
        </w:rPr>
        <w:t>(Resolución 2013-01001 de la Sala Primera de la Corte Suprema de Justicia)</w:t>
      </w:r>
    </w:p>
    <w:p w:rsidR="00592D71" w:rsidRDefault="00592D71" w:rsidP="00592D71">
      <w:pPr>
        <w:kinsoku w:val="0"/>
        <w:overflowPunct w:val="0"/>
        <w:autoSpaceDE/>
        <w:autoSpaceDN/>
        <w:adjustRightInd/>
        <w:spacing w:before="584" w:line="301" w:lineRule="exact"/>
        <w:ind w:firstLine="720"/>
        <w:jc w:val="both"/>
        <w:textAlignment w:val="baseline"/>
        <w:rPr>
          <w:b/>
          <w:bCs/>
          <w:sz w:val="26"/>
          <w:szCs w:val="26"/>
          <w:lang w:val="es-ES" w:eastAsia="es-ES"/>
        </w:rPr>
      </w:pPr>
      <w:r>
        <w:rPr>
          <w:b/>
          <w:bCs/>
          <w:i/>
          <w:iCs/>
          <w:sz w:val="26"/>
          <w:szCs w:val="26"/>
          <w:lang w:val="es-ES" w:eastAsia="es-ES"/>
        </w:rPr>
        <w:t xml:space="preserve">Y en sentido conteste a lo anterior, la Resolución No. 2014-00286 de la misma Sala Primera </w:t>
      </w:r>
      <w:r>
        <w:rPr>
          <w:b/>
          <w:bCs/>
          <w:sz w:val="26"/>
          <w:szCs w:val="26"/>
          <w:lang w:val="es-ES" w:eastAsia="es-ES"/>
        </w:rPr>
        <w:t>de la Corte Suprema de Justicia:</w:t>
      </w:r>
    </w:p>
    <w:p w:rsidR="00592D71" w:rsidRDefault="00592D71" w:rsidP="00592D71">
      <w:pPr>
        <w:kinsoku w:val="0"/>
        <w:overflowPunct w:val="0"/>
        <w:autoSpaceDE/>
        <w:autoSpaceDN/>
        <w:adjustRightInd/>
        <w:spacing w:before="299" w:line="297" w:lineRule="exact"/>
        <w:ind w:left="576" w:right="648"/>
        <w:jc w:val="both"/>
        <w:textAlignment w:val="baseline"/>
        <w:rPr>
          <w:sz w:val="26"/>
          <w:szCs w:val="26"/>
          <w:lang w:val="es-ES" w:eastAsia="es-ES"/>
        </w:rPr>
      </w:pPr>
      <w:r>
        <w:rPr>
          <w:sz w:val="26"/>
          <w:szCs w:val="26"/>
          <w:lang w:val="es-ES" w:eastAsia="es-ES"/>
        </w:rPr>
        <w:t>..."III.- En el primer reproche, aduce, contrario a lo resuelto por el Tribunal, el procedimiento administrativo caducó, y el derecho a reclamarle daños y perjuicios se encuentra "prescrito". En lo tocante al primero, esta Cámara ha expresado: "IV. - Sobre la caducidad del procedimiento administrativo cabe mencionar que La figura de la caducidad se encuentra regulada en el canon 340 de la LGAP, norma que reformada por el canon 200 inciso 10 del CPCA. Dicha norma indica: "1)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(se refiere a la misma LGAP y no al CPCA). 2) No procederá la caducidad del procedimiento iniciado a gestión de parte, cuando el interesado haya dejado de gestionar por haberse operado el silencio positivo o negativo, o cuando el expediente se encuentre listo para dictar el acto final. 3) La caducidad del procedimiento no extingue el derecho de las partes; pero los procedimientos se tienen por no seguidos, para los efectos de interrumpir la prescripción." El análisis de la naturaleza de esta figura permite concluir que se trata de un hecho jurídico dentro del procedimiento que se justifica, como un medio de evitar la prolongación excesiva de los procedimientos, en aras de la seguridad jurídica, así como en la necesidad de garantizar la continuidad y eficiencia de la actividad administrativa. Resulta inviable cuando el asunto se encuentre listo para el dictado el acto final. Para que opere, según lo establece la norma aludida, la caducidad requiere de varios elementos. En un primer término, que el asunto haya ingresado en un estado de abandono procesal, esto es, una inactividad. Segundo, que dicho estancamiento sea producto de causas imputables al administrado, cuando haya iniciado a gestión de parte, o bien de la Administración, si fue instaurado de oficio. Tercero, que ese estado se haya mantenido por espacio de, al menos, seis meses. Esto último exige que la inercia sea de seis meses al menos, es decir, no se constituye como un plazo máximo para actuar, sino como</w:t>
      </w:r>
    </w:p>
    <w:p w:rsidR="00592D71" w:rsidRDefault="00592D71" w:rsidP="00592D71">
      <w:pPr>
        <w:widowControl/>
        <w:rPr>
          <w:sz w:val="24"/>
          <w:szCs w:val="24"/>
        </w:rPr>
        <w:sectPr w:rsidR="00592D71">
          <w:pgSz w:w="12302" w:h="15686"/>
          <w:pgMar w:top="1580" w:right="1688" w:bottom="1020" w:left="1656" w:header="720" w:footer="720" w:gutter="0"/>
          <w:cols w:space="720"/>
          <w:noEndnote/>
        </w:sectPr>
      </w:pPr>
    </w:p>
    <w:p w:rsidR="00592D71" w:rsidRDefault="00592D71" w:rsidP="00592D71">
      <w:pPr>
        <w:kinsoku w:val="0"/>
        <w:overflowPunct w:val="0"/>
        <w:autoSpaceDE/>
        <w:autoSpaceDN/>
        <w:adjustRightInd/>
        <w:spacing w:before="11" w:after="678" w:line="297" w:lineRule="exact"/>
        <w:jc w:val="both"/>
        <w:textAlignment w:val="baseline"/>
        <w:rPr>
          <w:spacing w:val="-1"/>
          <w:sz w:val="26"/>
          <w:szCs w:val="26"/>
          <w:lang w:val="es-ES" w:eastAsia="es-ES"/>
        </w:rPr>
      </w:pPr>
      <w:r>
        <w:rPr>
          <w:spacing w:val="-1"/>
          <w:sz w:val="26"/>
          <w:szCs w:val="26"/>
          <w:lang w:val="es-ES" w:eastAsia="es-ES"/>
        </w:rPr>
        <w:lastRenderedPageBreak/>
        <w:t>límite temporal mínimo de inercia, ergo, debe computarse desde la última acción dentro del expediente y no desde la apertura del procedimiento. Ello supone que en los procedimientos instruidos de oficio, la caducidad es factible cuando concurran dichos presupuestos. Asimismo, sobre esta figura, recientemente, la Sala Primera de la Corte Suprema de Justicia, en el fallo 34-F-S1-2011 señaló en lo medular sobre el instituto de comentario: "En primer término, se puede observar que la norma recién transcrita se encuentra redactada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"Empero, los efectos procedimentales de la caducidad requiere que se haya solicitado o declarado dentro del procedimiento, precisamente para ponerle fin. Ello conlleva a que la decisión administrativa dictada luego de una inercia de seis meses atribuible con exclusividad a la Administración, cuando no se haya alegado o declarado la caducidad, sea totalmente válida. De la doctrina del canon 59 en relación al 66, ambos de la LGAP, las competencias públicas se otorgan para ser ejercitadas. Solo en los supuestos en que el legislador de manera expresa disponga un fenecimiento de esa competencia por factores temporales, el órgano público se encuentra imposibilitado de actuar. Ya explicamos que, por regla general, las competencias no se extinguen por el transcurso del plazo señalado para ejercerlas. La excepción a esta regla la contempla el mismo ordinal cuando indica que habrá una limitación de la competencia por razón del tiempo cuando expresamente el legislador disponga que su existencia o ejercicio esté sujeto condiciones o términos de extinción. En este sentido, insistimos que el precepto 329 ibídem señala con toda contundencia que el acto dictado fuera de plazo es válido para todo efecto legal, salvo disposición expresa de ley, lo que aquí no ocurre. La caducidad es una forma anticipada de terminar el procedimiento y como tal, debe decretarse para generar ese efecto de cierre. Por ende, mientras no se disponga, o al menos, no se haya solicitado (pues de haberse requerido, la emisión de un acto final sin considerar si procede o no la caducidad sería nulo), no produce esa</w:t>
      </w:r>
    </w:p>
    <w:p w:rsidR="00592D71" w:rsidRDefault="00592D71" w:rsidP="00592D71">
      <w:pPr>
        <w:widowControl/>
        <w:rPr>
          <w:sz w:val="24"/>
          <w:szCs w:val="24"/>
        </w:rPr>
        <w:sectPr w:rsidR="00592D71">
          <w:pgSz w:w="12298" w:h="15706"/>
          <w:pgMar w:top="1600" w:right="2331" w:bottom="183" w:left="2227" w:header="720" w:footer="720" w:gutter="0"/>
          <w:cols w:space="720"/>
          <w:noEndnote/>
        </w:sectPr>
      </w:pPr>
    </w:p>
    <w:p w:rsidR="00592D71" w:rsidRDefault="00592D71" w:rsidP="00592D71">
      <w:pPr>
        <w:widowControl/>
        <w:rPr>
          <w:sz w:val="24"/>
          <w:szCs w:val="24"/>
        </w:rPr>
        <w:sectPr w:rsidR="00592D71">
          <w:type w:val="continuous"/>
          <w:pgSz w:w="12298" w:h="15706"/>
          <w:pgMar w:top="1600" w:right="1556" w:bottom="183" w:left="7862" w:header="720" w:footer="720" w:gutter="0"/>
          <w:cols w:space="720"/>
          <w:noEndnote/>
        </w:sectPr>
      </w:pPr>
    </w:p>
    <w:p w:rsidR="00592D71" w:rsidRDefault="00592D71" w:rsidP="00592D71">
      <w:pPr>
        <w:kinsoku w:val="0"/>
        <w:overflowPunct w:val="0"/>
        <w:autoSpaceDE/>
        <w:autoSpaceDN/>
        <w:adjustRightInd/>
        <w:spacing w:line="299" w:lineRule="exact"/>
        <w:ind w:left="576" w:right="648"/>
        <w:textAlignment w:val="baseline"/>
        <w:rPr>
          <w:sz w:val="26"/>
          <w:szCs w:val="26"/>
          <w:lang w:val="es-ES" w:eastAsia="es-ES"/>
        </w:rPr>
      </w:pPr>
      <w:r>
        <w:rPr>
          <w:sz w:val="26"/>
          <w:szCs w:val="26"/>
          <w:lang w:val="es-ES" w:eastAsia="es-ES"/>
        </w:rPr>
        <w:lastRenderedPageBreak/>
        <w:t>consecuencia procedimental". Sentencia, No. 1001 de las 16 horas 15 minutos del primero de agosto de 2013."</w:t>
      </w:r>
    </w:p>
    <w:p w:rsidR="00592D71" w:rsidRDefault="00592D71" w:rsidP="00592D71">
      <w:pPr>
        <w:kinsoku w:val="0"/>
        <w:overflowPunct w:val="0"/>
        <w:autoSpaceDE/>
        <w:autoSpaceDN/>
        <w:adjustRightInd/>
        <w:spacing w:before="599" w:line="296" w:lineRule="exact"/>
        <w:textAlignment w:val="baseline"/>
        <w:rPr>
          <w:b/>
          <w:bCs/>
          <w:i/>
          <w:iCs/>
          <w:spacing w:val="6"/>
          <w:sz w:val="26"/>
          <w:szCs w:val="26"/>
          <w:lang w:val="es-ES" w:eastAsia="es-ES"/>
        </w:rPr>
      </w:pPr>
      <w:r>
        <w:rPr>
          <w:b/>
          <w:bCs/>
          <w:i/>
          <w:iCs/>
          <w:spacing w:val="6"/>
          <w:sz w:val="26"/>
          <w:szCs w:val="26"/>
          <w:lang w:val="es-ES" w:eastAsia="es-ES"/>
        </w:rPr>
        <w:t>ii.- SOBRE LA CADUCIDAD EN CUANTO AL CASO EN PARTICULAR:</w:t>
      </w:r>
    </w:p>
    <w:p w:rsidR="00592D71" w:rsidRDefault="00592D71" w:rsidP="00592D71">
      <w:pPr>
        <w:kinsoku w:val="0"/>
        <w:overflowPunct w:val="0"/>
        <w:autoSpaceDE/>
        <w:autoSpaceDN/>
        <w:adjustRightInd/>
        <w:spacing w:before="297" w:line="300" w:lineRule="exact"/>
        <w:jc w:val="both"/>
        <w:textAlignment w:val="baseline"/>
        <w:rPr>
          <w:spacing w:val="2"/>
          <w:sz w:val="26"/>
          <w:szCs w:val="26"/>
          <w:lang w:val="es-ES" w:eastAsia="es-ES"/>
        </w:rPr>
      </w:pPr>
      <w:r>
        <w:rPr>
          <w:spacing w:val="2"/>
          <w:sz w:val="26"/>
          <w:szCs w:val="26"/>
          <w:lang w:val="es-ES" w:eastAsia="es-ES"/>
        </w:rPr>
        <w:t xml:space="preserve">Para este Caso y según la meritoria valoración de hechos realizada por este Tribunal, se tiene que: el 22 de Abril del 2010 mediante su Acuerdo No. 6.8.67 de su Sesión Ordinaria No. 24-2010, la Junta Directiva del Consejo de Transporte Público dispone </w:t>
      </w:r>
      <w:r>
        <w:rPr>
          <w:i/>
          <w:iCs/>
          <w:spacing w:val="2"/>
          <w:sz w:val="26"/>
          <w:szCs w:val="26"/>
          <w:lang w:val="es-ES" w:eastAsia="es-ES"/>
        </w:rPr>
        <w:t xml:space="preserve">—de Oficio- </w:t>
      </w:r>
      <w:r>
        <w:rPr>
          <w:spacing w:val="2"/>
          <w:sz w:val="26"/>
          <w:szCs w:val="26"/>
          <w:lang w:val="es-ES" w:eastAsia="es-ES"/>
        </w:rPr>
        <w:t xml:space="preserve">Iniciar un Procedimiento Administrativo Ordinario contra el Concesionario de Taxi </w:t>
      </w:r>
      <w:r w:rsidR="006A5040">
        <w:rPr>
          <w:spacing w:val="2"/>
          <w:sz w:val="26"/>
          <w:szCs w:val="26"/>
          <w:lang w:val="es-ES" w:eastAsia="es-ES"/>
        </w:rPr>
        <w:t>JCC</w:t>
      </w:r>
      <w:r>
        <w:rPr>
          <w:spacing w:val="2"/>
          <w:sz w:val="26"/>
          <w:szCs w:val="26"/>
          <w:lang w:val="es-ES" w:eastAsia="es-ES"/>
        </w:rPr>
        <w:t xml:space="preserve">, por una Supuesta Transmisión </w:t>
      </w:r>
      <w:proofErr w:type="spellStart"/>
      <w:r>
        <w:rPr>
          <w:spacing w:val="2"/>
          <w:sz w:val="26"/>
          <w:szCs w:val="26"/>
          <w:lang w:val="es-ES" w:eastAsia="es-ES"/>
        </w:rPr>
        <w:t>Inautorizada</w:t>
      </w:r>
      <w:proofErr w:type="spellEnd"/>
      <w:r>
        <w:rPr>
          <w:spacing w:val="2"/>
          <w:sz w:val="26"/>
          <w:szCs w:val="26"/>
          <w:lang w:val="es-ES" w:eastAsia="es-ES"/>
        </w:rPr>
        <w:t xml:space="preserve"> de su Concesión de Taxi Placas TSJ-</w:t>
      </w:r>
      <w:r w:rsidR="006A5040">
        <w:rPr>
          <w:spacing w:val="2"/>
          <w:sz w:val="26"/>
          <w:szCs w:val="26"/>
          <w:lang w:val="es-ES" w:eastAsia="es-ES"/>
        </w:rPr>
        <w:t>…</w:t>
      </w:r>
      <w:r>
        <w:rPr>
          <w:spacing w:val="2"/>
          <w:sz w:val="26"/>
          <w:szCs w:val="26"/>
          <w:lang w:val="es-ES" w:eastAsia="es-ES"/>
        </w:rPr>
        <w:t>. Encomendando la Labor de Realización del Procedimiento dicho a su Dirección de Asuntos Jurídicos.</w:t>
      </w:r>
    </w:p>
    <w:p w:rsidR="00592D71" w:rsidRDefault="00592D71" w:rsidP="00592D71">
      <w:pPr>
        <w:kinsoku w:val="0"/>
        <w:overflowPunct w:val="0"/>
        <w:autoSpaceDE/>
        <w:autoSpaceDN/>
        <w:adjustRightInd/>
        <w:spacing w:before="279" w:line="300" w:lineRule="exact"/>
        <w:jc w:val="both"/>
        <w:textAlignment w:val="baseline"/>
        <w:rPr>
          <w:spacing w:val="2"/>
          <w:sz w:val="26"/>
          <w:szCs w:val="26"/>
          <w:lang w:val="es-ES" w:eastAsia="es-ES"/>
        </w:rPr>
      </w:pPr>
      <w:r>
        <w:rPr>
          <w:spacing w:val="2"/>
          <w:sz w:val="26"/>
          <w:szCs w:val="26"/>
          <w:lang w:val="es-ES" w:eastAsia="es-ES"/>
        </w:rPr>
        <w:t xml:space="preserve">Y mediante su Resolución de Oficio DAJ-20101999 del 28 de Junio del 2010, la Dirección de Asuntos Jurídicos del Consejo de Transporte Público emite el Acto de Inicio del Procedimiento. Procedimiento que culmina en el ámbito de dicha Dirección —en tiempo y forma- en un Plazo Aproximado de 4 MESES, según Resolución </w:t>
      </w:r>
      <w:r>
        <w:rPr>
          <w:i/>
          <w:iCs/>
          <w:spacing w:val="2"/>
          <w:sz w:val="26"/>
          <w:szCs w:val="26"/>
          <w:lang w:val="es-ES" w:eastAsia="es-ES"/>
        </w:rPr>
        <w:t xml:space="preserve">(Acto Final de Recomendación) </w:t>
      </w:r>
      <w:r>
        <w:rPr>
          <w:spacing w:val="2"/>
          <w:sz w:val="26"/>
          <w:szCs w:val="26"/>
          <w:lang w:val="es-ES" w:eastAsia="es-ES"/>
        </w:rPr>
        <w:t>de su Oficio No. DAJ-20103298 del 9 de Noviembre del 2010.</w:t>
      </w:r>
    </w:p>
    <w:p w:rsidR="00592D71" w:rsidRDefault="00592D71" w:rsidP="00592D71">
      <w:pPr>
        <w:kinsoku w:val="0"/>
        <w:overflowPunct w:val="0"/>
        <w:autoSpaceDE/>
        <w:autoSpaceDN/>
        <w:adjustRightInd/>
        <w:spacing w:before="278" w:line="300" w:lineRule="exact"/>
        <w:jc w:val="both"/>
        <w:textAlignment w:val="baseline"/>
        <w:rPr>
          <w:spacing w:val="2"/>
          <w:sz w:val="26"/>
          <w:szCs w:val="26"/>
          <w:lang w:val="es-ES" w:eastAsia="es-ES"/>
        </w:rPr>
      </w:pPr>
      <w:r>
        <w:rPr>
          <w:spacing w:val="2"/>
          <w:sz w:val="26"/>
          <w:szCs w:val="26"/>
          <w:lang w:val="es-ES" w:eastAsia="es-ES"/>
        </w:rPr>
        <w:t>Ahora bien, NO ES SINO HASTA EN SU SESIÓN ORDINARIA No. 50-2015 DEL 26 DE AGOSTO DEL AÑO 2015, ACUERDO No. 7.14, que la Junta Directiva del Consejo (como Órgano Único con Poder de Decisión) Conoce del Informe Final del Órgano Director del Procedimiento (Oficio No. DAJ-20103298 del 9 de Noviembre del 2010) y DISPONE LA CANCELACIÓN DE LA CONCESIÓN ALUDIDA.</w:t>
      </w:r>
    </w:p>
    <w:p w:rsidR="00592D71" w:rsidRDefault="00592D71" w:rsidP="00592D71">
      <w:pPr>
        <w:kinsoku w:val="0"/>
        <w:overflowPunct w:val="0"/>
        <w:autoSpaceDE/>
        <w:autoSpaceDN/>
        <w:adjustRightInd/>
        <w:spacing w:before="277" w:line="300" w:lineRule="exact"/>
        <w:jc w:val="both"/>
        <w:textAlignment w:val="baseline"/>
        <w:rPr>
          <w:sz w:val="26"/>
          <w:szCs w:val="26"/>
          <w:lang w:val="es-ES" w:eastAsia="es-ES"/>
        </w:rPr>
      </w:pPr>
      <w:r>
        <w:rPr>
          <w:sz w:val="26"/>
          <w:szCs w:val="26"/>
          <w:lang w:val="es-ES" w:eastAsia="es-ES"/>
        </w:rPr>
        <w:t>Así las cosas, desde el INICIO EFECTIVO DEL PROCEDIMIENTO HASTA SU ACTO FINAL (Acto Objetado), TRANSCURRE UN PERIODO DE CERCA DE CINCUENTA Y SIETE MESES de Tramitación.</w:t>
      </w:r>
    </w:p>
    <w:p w:rsidR="00592D71" w:rsidRDefault="00592D71" w:rsidP="00592D71">
      <w:pPr>
        <w:kinsoku w:val="0"/>
        <w:overflowPunct w:val="0"/>
        <w:autoSpaceDE/>
        <w:autoSpaceDN/>
        <w:adjustRightInd/>
        <w:spacing w:before="283" w:after="719" w:line="300" w:lineRule="exact"/>
        <w:jc w:val="both"/>
        <w:textAlignment w:val="baseline"/>
        <w:rPr>
          <w:spacing w:val="1"/>
          <w:sz w:val="26"/>
          <w:szCs w:val="26"/>
          <w:lang w:val="es-ES" w:eastAsia="es-ES"/>
        </w:rPr>
      </w:pPr>
      <w:r>
        <w:rPr>
          <w:spacing w:val="1"/>
          <w:sz w:val="26"/>
          <w:szCs w:val="26"/>
          <w:lang w:val="es-ES" w:eastAsia="es-ES"/>
        </w:rPr>
        <w:t>Vale acotar que el Órgano Director Despliega su Labor en un Plazo Debido de CUATRO MESES y que la Dilación Mayor se Genera en el Plazo que TRANSCURRE DESDE QUE EL INFORME FINAL DEL ÓRGANO DIRECTOR ES ENVIANDO A LA JUNTA DIRECTIVA DEL CONSEJO DE TRANSPORTE PÚBLICO Y HASTA EL MOMENTO DE SU CONOCIMIENTO Y RESOLUCIÓN POR PÁRTE DE ÉSTA. La cual NO VIENE A DEFINIR EL CASO SINO HASTA EN EL AÑO 2015, CON SU ACUERDO IMPUGNADO.</w:t>
      </w:r>
    </w:p>
    <w:p w:rsidR="00592D71" w:rsidRDefault="00592D71" w:rsidP="00592D71">
      <w:pPr>
        <w:widowControl/>
        <w:rPr>
          <w:sz w:val="24"/>
          <w:szCs w:val="24"/>
        </w:rPr>
        <w:sectPr w:rsidR="00592D71">
          <w:pgSz w:w="12293" w:h="15706"/>
          <w:pgMar w:top="1600" w:right="1691" w:bottom="230" w:left="1644" w:header="720" w:footer="720" w:gutter="0"/>
          <w:cols w:space="720"/>
          <w:noEndnote/>
        </w:sectPr>
      </w:pPr>
    </w:p>
    <w:p w:rsidR="00592D71" w:rsidRDefault="00592D71" w:rsidP="00592D71">
      <w:pPr>
        <w:widowControl/>
        <w:rPr>
          <w:sz w:val="24"/>
          <w:szCs w:val="24"/>
        </w:rPr>
        <w:sectPr w:rsidR="00592D71">
          <w:type w:val="continuous"/>
          <w:pgSz w:w="12293" w:h="15706"/>
          <w:pgMar w:top="1600" w:right="1461" w:bottom="230" w:left="7872" w:header="720" w:footer="720" w:gutter="0"/>
          <w:cols w:space="720"/>
          <w:noEndnote/>
        </w:sectPr>
      </w:pPr>
    </w:p>
    <w:p w:rsidR="00592D71" w:rsidRDefault="00592D71" w:rsidP="00592D71">
      <w:pPr>
        <w:kinsoku w:val="0"/>
        <w:overflowPunct w:val="0"/>
        <w:autoSpaceDE/>
        <w:autoSpaceDN/>
        <w:adjustRightInd/>
        <w:spacing w:line="299" w:lineRule="exact"/>
        <w:jc w:val="both"/>
        <w:textAlignment w:val="baseline"/>
        <w:rPr>
          <w:b/>
          <w:bCs/>
          <w:sz w:val="26"/>
          <w:szCs w:val="26"/>
          <w:lang w:val="es-ES" w:eastAsia="es-ES"/>
        </w:rPr>
      </w:pPr>
      <w:r>
        <w:rPr>
          <w:b/>
          <w:bCs/>
          <w:sz w:val="26"/>
          <w:szCs w:val="26"/>
          <w:lang w:val="es-ES" w:eastAsia="es-ES"/>
        </w:rPr>
        <w:lastRenderedPageBreak/>
        <w:t>Es decir, en todo ese periplo de la Etapa de Instrucción y/o Desarrollo del Procedimiento transcurrieron, como se dijo, CERCA DE CINCUENTA Y SIETE MESES, en lo que a la atención y trámite del asunto de particular interés se refiere.</w:t>
      </w:r>
    </w:p>
    <w:p w:rsidR="00592D71" w:rsidRDefault="00592D71" w:rsidP="00592D71">
      <w:pPr>
        <w:kinsoku w:val="0"/>
        <w:overflowPunct w:val="0"/>
        <w:autoSpaceDE/>
        <w:autoSpaceDN/>
        <w:adjustRightInd/>
        <w:spacing w:before="292" w:line="298" w:lineRule="exact"/>
        <w:jc w:val="both"/>
        <w:textAlignment w:val="baseline"/>
        <w:rPr>
          <w:spacing w:val="2"/>
          <w:sz w:val="26"/>
          <w:szCs w:val="26"/>
          <w:lang w:val="es-ES" w:eastAsia="es-ES"/>
        </w:rPr>
      </w:pPr>
      <w:r>
        <w:rPr>
          <w:spacing w:val="2"/>
          <w:sz w:val="26"/>
          <w:szCs w:val="26"/>
          <w:lang w:val="es-ES" w:eastAsia="es-ES"/>
        </w:rPr>
        <w:t xml:space="preserve">Mas no obstante lo anterior, en cuanto a la Temporalidad y/o Caducidad del Procedimiento Administrativo </w:t>
      </w:r>
      <w:r>
        <w:rPr>
          <w:i/>
          <w:iCs/>
          <w:spacing w:val="2"/>
          <w:sz w:val="26"/>
          <w:szCs w:val="26"/>
          <w:lang w:val="es-ES" w:eastAsia="es-ES"/>
        </w:rPr>
        <w:t xml:space="preserve">(Ordinario, en este Caso), </w:t>
      </w:r>
      <w:r>
        <w:rPr>
          <w:spacing w:val="2"/>
          <w:sz w:val="26"/>
          <w:szCs w:val="26"/>
          <w:lang w:val="es-ES" w:eastAsia="es-ES"/>
        </w:rPr>
        <w:t xml:space="preserve">pese a ser claro que durante la Tramitación o Curso del mismo se dieron Lapsos Mayores a los SEIS MESES, en los que se configuraría la Caducidad del mismo, a tenor de lo Prescrito por el numeral 340 de la Ley General de la Administración Pública; este Tribunal ha determinado que particularmente a partir del año 2015 han surgido una serie de Resoluciones del Tribunal de Casación de lo Contencioso Administrativo, las cuales en lo atinente a la Figura o al Instituto Jurídico de la Caducidad han venido a determinar que </w:t>
      </w:r>
      <w:r>
        <w:rPr>
          <w:b/>
          <w:bCs/>
          <w:spacing w:val="2"/>
          <w:sz w:val="26"/>
          <w:szCs w:val="26"/>
          <w:lang w:val="es-ES" w:eastAsia="es-ES"/>
        </w:rPr>
        <w:t xml:space="preserve">"sí la caducidad no ha sido alegada por las Partes Interesadas en el ínterin del Procedimiento Administrativo, ANTES DEL DICTADO DE SU ACTO FINAL, LA MISMA NO ES DE RECIBO CUANDO SEA ADUCIDA EN LAS ACCIONES RECURSIVAS QUE APLICAN CONTRA EL ACTO FINAL QUE SE EMITA". </w:t>
      </w:r>
      <w:r>
        <w:rPr>
          <w:spacing w:val="2"/>
          <w:sz w:val="26"/>
          <w:szCs w:val="26"/>
          <w:lang w:val="es-ES" w:eastAsia="es-ES"/>
        </w:rPr>
        <w:t>En tal sentido la Resolución No. 201500061 del Tribunal de Casación Contencioso Administrativo, entre otras, es más que clara al señalar:</w:t>
      </w:r>
    </w:p>
    <w:p w:rsidR="00592D71" w:rsidRDefault="00592D71" w:rsidP="00592D71">
      <w:pPr>
        <w:kinsoku w:val="0"/>
        <w:overflowPunct w:val="0"/>
        <w:autoSpaceDE/>
        <w:autoSpaceDN/>
        <w:adjustRightInd/>
        <w:spacing w:before="250" w:line="297" w:lineRule="exact"/>
        <w:ind w:left="576" w:right="648"/>
        <w:jc w:val="both"/>
        <w:textAlignment w:val="baseline"/>
        <w:rPr>
          <w:sz w:val="26"/>
          <w:szCs w:val="26"/>
          <w:lang w:val="es-ES" w:eastAsia="es-ES"/>
        </w:rPr>
      </w:pPr>
      <w:r>
        <w:rPr>
          <w:sz w:val="26"/>
          <w:szCs w:val="26"/>
          <w:lang w:val="es-ES" w:eastAsia="es-ES"/>
        </w:rPr>
        <w:t>..."Y.- Ambos cargos se encuentran relacionados, motivos por el cual serán conocidos conjuntamente. Empero, previo a ello, es necesario traer a colación lo resuelto por el Tribunal sobre el tema. Para atender el tema del instituto de la caducidad del procedimiento planteado, los jueces en un primer momento, dejaron claro que el punto ha de resolverse con base en el canon 340.1 de la LGAP y no con las normas del Reglamento del Proceso Disciplinario del CFIA (aprobado en Asamblea General Extraordinaria de Representantes no. 02-07/08-AER de 10 de abril de 2008, acuerdo 06, según Gaceta 119 de 20 de junio de 2008), por cuanto están de por medio derechos fundamentales, cuya regulación está reservada a la ley formal, sin que proceda la delegación legislativa en poderes distintos y entes u órganos inferiores (artículos 28 de la Constitución Política y 19 LGAP). Luego dijeron, frente a la inercia y para evitar que los casos se prolonguen indefinidamente, surge la caducidad, siendo este instituto, una forma anormal de terminación del procedimiento. Añaden, se produce cuando el procedimiento se paraliza por determinado plazo, por causa imputable a la propia parte interesada que lo ha abierto (artículo 340.1 LGAP). Manifiestan, es igualmente un mecanismo que se tiene para impedir la eternización de los casos, la paralización indefinida del procedimiento, con merma de las</w:t>
      </w:r>
    </w:p>
    <w:p w:rsidR="00592D71" w:rsidRDefault="00592D71" w:rsidP="00592D71">
      <w:pPr>
        <w:widowControl/>
        <w:rPr>
          <w:sz w:val="24"/>
          <w:szCs w:val="24"/>
        </w:rPr>
        <w:sectPr w:rsidR="00592D71">
          <w:pgSz w:w="12288" w:h="15706"/>
          <w:pgMar w:top="1600" w:right="1679" w:bottom="0" w:left="1651" w:header="720" w:footer="720" w:gutter="0"/>
          <w:cols w:space="720"/>
          <w:noEndnote/>
        </w:sectPr>
      </w:pPr>
    </w:p>
    <w:p w:rsidR="00592D71" w:rsidRDefault="00592D71" w:rsidP="00592D71">
      <w:pPr>
        <w:widowControl/>
        <w:rPr>
          <w:sz w:val="24"/>
          <w:szCs w:val="24"/>
        </w:rPr>
        <w:sectPr w:rsidR="00592D71">
          <w:type w:val="continuous"/>
          <w:pgSz w:w="12288" w:h="15706"/>
          <w:pgMar w:top="1600" w:right="1411" w:bottom="0" w:left="7877" w:header="720" w:footer="720" w:gutter="0"/>
          <w:cols w:space="720"/>
          <w:noEndnote/>
        </w:sectPr>
      </w:pPr>
    </w:p>
    <w:p w:rsidR="00592D71" w:rsidRDefault="00592D71" w:rsidP="00592D71">
      <w:pPr>
        <w:kinsoku w:val="0"/>
        <w:overflowPunct w:val="0"/>
        <w:autoSpaceDE/>
        <w:autoSpaceDN/>
        <w:adjustRightInd/>
        <w:spacing w:line="297" w:lineRule="exact"/>
        <w:jc w:val="both"/>
        <w:textAlignment w:val="baseline"/>
        <w:rPr>
          <w:spacing w:val="1"/>
          <w:sz w:val="26"/>
          <w:szCs w:val="26"/>
          <w:lang w:val="es-ES" w:eastAsia="es-ES"/>
        </w:rPr>
      </w:pPr>
      <w:r>
        <w:rPr>
          <w:spacing w:val="1"/>
          <w:sz w:val="26"/>
          <w:szCs w:val="26"/>
          <w:lang w:val="es-ES" w:eastAsia="es-ES"/>
        </w:rPr>
        <w:lastRenderedPageBreak/>
        <w:t xml:space="preserve">garantías constitucionales y convencionales (artículo 8.1 de la Convención Americana sobre Derechos Humanos), cuanto una garantía de </w:t>
      </w:r>
      <w:r>
        <w:rPr>
          <w:i/>
          <w:iCs/>
          <w:spacing w:val="1"/>
          <w:sz w:val="26"/>
          <w:szCs w:val="26"/>
          <w:lang w:val="es-ES" w:eastAsia="es-ES"/>
        </w:rPr>
        <w:t xml:space="preserve">"efectividad" </w:t>
      </w:r>
      <w:r>
        <w:rPr>
          <w:spacing w:val="1"/>
          <w:sz w:val="26"/>
          <w:szCs w:val="26"/>
          <w:lang w:val="es-ES" w:eastAsia="es-ES"/>
        </w:rPr>
        <w:t xml:space="preserve">de los derechos. Estiman, el sentido de la norma es que la caducidad se opera por el simple transcurso del plazo previsto en la ley. Comentan, no es una cuestión facultativa sino preceptiva; cumplido el supuesto de hecho previsto en la norma, la consecuencia deviene obligatoria para el órgano encargado de la tramitación o instrucción. Razonan los jueces, tratándose de procedimientos administrativos triangulares, o bien, de aquellos que son iniciados de oficio por la propia Administración, con el objeto de imponer restricciones o suprimir derechos, nada impide la aplicación de la caducidad, en tanto estos buscan gravitar, en tesis de principio, algún efecto negativo (la mayor de las veces) al administrado. En esta hipótesis, mencionan, es factible la ocurrencia de la citada caducidad, pues ante la inercia administrativa injustificada, el procedimiento culmina o perime, a fin de evitar el estado de sujeción e incerteza en contra del destinatario. En el caso concreto, para los juzgadores, se aprecia la existencia de al menos tres momentos críticos de abandono e inactividad; uno que va desde el cierre de la investigación preliminar con la contestación del encausado, hasta que se dio la orden de abrir el procedimiento ordinario e integrar el Tribunal de Honor; otro que va entre la notificación de este último acto y la intimación y el traslado de cargos; y el último comprendido entre la terminación de la comparecencia oral y privada y la adopción del acto final. En consecuencia, dispusieron remover el acto impugnado que dispuso la suspensión temporal para el ejercicio de la profesión liberal, como forma de restaurar el orden quebrantado (artículos 41, 49, 153 y 154 CP); precisamente porque transcurrió un plazo superior al semestre, lo que implica se produjo la caducidad, pues ésta </w:t>
      </w:r>
      <w:proofErr w:type="spellStart"/>
      <w:r>
        <w:rPr>
          <w:spacing w:val="1"/>
          <w:sz w:val="26"/>
          <w:szCs w:val="26"/>
          <w:lang w:val="es-ES" w:eastAsia="es-ES"/>
        </w:rPr>
        <w:t>opera</w:t>
      </w:r>
      <w:proofErr w:type="spellEnd"/>
      <w:r>
        <w:rPr>
          <w:spacing w:val="1"/>
          <w:sz w:val="26"/>
          <w:szCs w:val="26"/>
          <w:lang w:val="es-ES" w:eastAsia="es-ES"/>
        </w:rPr>
        <w:t xml:space="preserve"> de pleno derecho, "ipso jure", por la inactividad o abandono durante el tiempo establecido en la ley.</w:t>
      </w:r>
    </w:p>
    <w:p w:rsidR="00592D71" w:rsidRDefault="00592D71" w:rsidP="00592D71">
      <w:pPr>
        <w:kinsoku w:val="0"/>
        <w:overflowPunct w:val="0"/>
        <w:autoSpaceDE/>
        <w:autoSpaceDN/>
        <w:adjustRightInd/>
        <w:spacing w:before="273" w:after="689" w:line="298" w:lineRule="exact"/>
        <w:jc w:val="both"/>
        <w:textAlignment w:val="baseline"/>
        <w:rPr>
          <w:sz w:val="26"/>
          <w:szCs w:val="26"/>
          <w:lang w:val="es-ES" w:eastAsia="es-ES"/>
        </w:rPr>
      </w:pPr>
      <w:r>
        <w:rPr>
          <w:b/>
          <w:bCs/>
          <w:sz w:val="26"/>
          <w:szCs w:val="26"/>
          <w:lang w:val="es-ES" w:eastAsia="es-ES"/>
        </w:rPr>
        <w:t xml:space="preserve">VI.- Sobre la caducidad del procedimiento. </w:t>
      </w:r>
      <w:r>
        <w:rPr>
          <w:sz w:val="26"/>
          <w:szCs w:val="26"/>
          <w:lang w:val="es-ES" w:eastAsia="es-ES"/>
        </w:rPr>
        <w:t>Como regla general, el canon 222 de la LGAP impone a la Administración el deber de impulsar oficiosamente los procedimientos. Esto es así en la medida en que actúa como tramitador y decisor del expediente. En este tanto,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w:t>
      </w:r>
    </w:p>
    <w:p w:rsidR="00592D71" w:rsidRDefault="00592D71" w:rsidP="00592D71">
      <w:pPr>
        <w:widowControl/>
        <w:rPr>
          <w:sz w:val="24"/>
          <w:szCs w:val="24"/>
        </w:rPr>
        <w:sectPr w:rsidR="00592D71">
          <w:pgSz w:w="12312" w:h="15706"/>
          <w:pgMar w:top="1600" w:right="2321" w:bottom="570" w:left="2251" w:header="720" w:footer="720" w:gutter="0"/>
          <w:cols w:space="720"/>
          <w:noEndnote/>
        </w:sectPr>
      </w:pPr>
    </w:p>
    <w:p w:rsidR="00592D71" w:rsidRDefault="00592D71" w:rsidP="00592D71">
      <w:pPr>
        <w:widowControl/>
        <w:rPr>
          <w:sz w:val="24"/>
          <w:szCs w:val="24"/>
        </w:rPr>
        <w:sectPr w:rsidR="00592D71">
          <w:type w:val="continuous"/>
          <w:pgSz w:w="12312" w:h="15706"/>
          <w:pgMar w:top="1600" w:right="1901" w:bottom="570" w:left="7891" w:header="720" w:footer="720" w:gutter="0"/>
          <w:cols w:space="720"/>
          <w:noEndnote/>
        </w:sectPr>
      </w:pPr>
    </w:p>
    <w:p w:rsidR="00592D71" w:rsidRDefault="00592D71" w:rsidP="00592D71">
      <w:pPr>
        <w:kinsoku w:val="0"/>
        <w:overflowPunct w:val="0"/>
        <w:autoSpaceDE/>
        <w:autoSpaceDN/>
        <w:adjustRightInd/>
        <w:spacing w:before="10" w:line="297" w:lineRule="exact"/>
        <w:jc w:val="both"/>
        <w:textAlignment w:val="baseline"/>
        <w:rPr>
          <w:spacing w:val="1"/>
          <w:sz w:val="26"/>
          <w:szCs w:val="26"/>
          <w:lang w:val="es-ES" w:eastAsia="es-ES"/>
        </w:rPr>
      </w:pPr>
      <w:r>
        <w:rPr>
          <w:spacing w:val="1"/>
          <w:sz w:val="26"/>
          <w:szCs w:val="26"/>
          <w:lang w:val="es-ES" w:eastAsia="es-ES"/>
        </w:rPr>
        <w:lastRenderedPageBreak/>
        <w:t>la continuación de las actuaciones, en concordancia con lo dispuesto en el precepto 340 de la LGAP.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último supuesto, la tramitación y el impulso recae, en forma exclusiva, en la Administración. Lo expuesto permite afirmar, entonces, que el párrafo segundo del artículo 222 tiene una aplicabilidad limitada, dependiendo de cuál sea el resultado final que se pretenda obtener con el</w:t>
      </w:r>
    </w:p>
    <w:p w:rsidR="00592D71" w:rsidRDefault="00592D71" w:rsidP="00592D71">
      <w:pPr>
        <w:tabs>
          <w:tab w:val="left" w:pos="2376"/>
          <w:tab w:val="left" w:pos="3456"/>
          <w:tab w:val="right" w:pos="7704"/>
        </w:tabs>
        <w:kinsoku w:val="0"/>
        <w:overflowPunct w:val="0"/>
        <w:autoSpaceDE/>
        <w:autoSpaceDN/>
        <w:adjustRightInd/>
        <w:spacing w:before="8" w:after="380" w:line="297" w:lineRule="exact"/>
        <w:jc w:val="both"/>
        <w:textAlignment w:val="baseline"/>
        <w:rPr>
          <w:spacing w:val="2"/>
          <w:sz w:val="26"/>
          <w:szCs w:val="26"/>
          <w:lang w:val="es-ES" w:eastAsia="es-ES"/>
        </w:rPr>
      </w:pPr>
      <w:r>
        <w:rPr>
          <w:spacing w:val="2"/>
          <w:sz w:val="26"/>
          <w:szCs w:val="26"/>
          <w:lang w:val="es-ES" w:eastAsia="es-ES"/>
        </w:rPr>
        <w:t>pronunciamiento</w:t>
      </w:r>
      <w:r>
        <w:rPr>
          <w:spacing w:val="2"/>
          <w:sz w:val="26"/>
          <w:szCs w:val="26"/>
          <w:lang w:val="es-ES" w:eastAsia="es-ES"/>
        </w:rPr>
        <w:tab/>
        <w:t>de la</w:t>
      </w:r>
      <w:r>
        <w:rPr>
          <w:spacing w:val="2"/>
          <w:sz w:val="26"/>
          <w:szCs w:val="26"/>
          <w:lang w:val="es-ES" w:eastAsia="es-ES"/>
        </w:rPr>
        <w:tab/>
        <w:t>Administración. Sobre la</w:t>
      </w:r>
      <w:r>
        <w:rPr>
          <w:spacing w:val="2"/>
          <w:sz w:val="26"/>
          <w:szCs w:val="26"/>
          <w:lang w:val="es-ES" w:eastAsia="es-ES"/>
        </w:rPr>
        <w:tab/>
        <w:t>caducidad</w:t>
      </w:r>
      <w:r>
        <w:rPr>
          <w:spacing w:val="2"/>
          <w:sz w:val="26"/>
          <w:szCs w:val="26"/>
          <w:lang w:val="es-ES" w:eastAsia="es-ES"/>
        </w:rPr>
        <w:br/>
        <w:t xml:space="preserve">del procedimiento administrativo, la Sala Primera ha indicado que se trata de un instituto que pretende garantizar la seguridad jurídica mediante el archivo de aquellos expedientes cuya tramitación se haya detenido por un lapso superior a seis meses, imputable al promovente, siempre y cuando este no pueda ser justificado. Se encuentra regulado en el numeral 340 de la LGAP y se concibe como una sanción procedimental prevista contra la indolencia en la sustanciación del procedimiento que impide que se vierta un pronunciamiento de fondo. La norma 340 ibídem, establece lo siguiente: </w:t>
      </w:r>
      <w:r>
        <w:rPr>
          <w:i/>
          <w:iCs/>
          <w:spacing w:val="2"/>
          <w:sz w:val="26"/>
          <w:szCs w:val="26"/>
          <w:lang w:val="es-ES" w:eastAsia="es-ES"/>
        </w:rPr>
        <w:t xml:space="preserve">" 1) Cuando el procedimiento se paralice por más de seis meses en virtud de causa, imputable exclusivamente al interesado que lo haya promovido o a la Administración que lo haya iniciado, de oficio o por denuncia, se producirá la caducidad y se ordenará su archivo, a menos que se trate del caso previsto en el párrafo final del artículo 339 de este Código. 2) No procederá la caducidad del procedimiento iniciado a gestión de parte, cuando el interesado haya dejado de gestionar por haberse operado el silencio positivo o negativo, o cuando el expediente se encuentre listo para dictar el acto final. 3) La caducidad del procedimiento administrativo no extingue el derecho de las partes; pero los procedimientos se tienen por no seguidos, para los efectos de interrumpir la prescripción". </w:t>
      </w:r>
      <w:r>
        <w:rPr>
          <w:spacing w:val="2"/>
          <w:sz w:val="26"/>
          <w:szCs w:val="26"/>
          <w:lang w:val="es-ES" w:eastAsia="es-ES"/>
        </w:rPr>
        <w:t>El artículo, se ha indicado en múltiples ocasiones, se encuentra redactado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w:t>
      </w:r>
    </w:p>
    <w:p w:rsidR="00592D71" w:rsidRDefault="00592D71" w:rsidP="00592D71">
      <w:pPr>
        <w:widowControl/>
        <w:rPr>
          <w:sz w:val="24"/>
          <w:szCs w:val="24"/>
        </w:rPr>
        <w:sectPr w:rsidR="00592D71">
          <w:pgSz w:w="12307" w:h="15686"/>
          <w:pgMar w:top="1580" w:right="2325" w:bottom="143" w:left="2222" w:header="720" w:footer="720" w:gutter="0"/>
          <w:cols w:space="720"/>
          <w:noEndnote/>
        </w:sectPr>
      </w:pPr>
    </w:p>
    <w:p w:rsidR="00592D71" w:rsidRDefault="00592D71" w:rsidP="00592D71">
      <w:pPr>
        <w:widowControl/>
        <w:rPr>
          <w:sz w:val="24"/>
          <w:szCs w:val="24"/>
        </w:rPr>
        <w:sectPr w:rsidR="00592D71">
          <w:type w:val="continuous"/>
          <w:pgSz w:w="12307" w:h="15686"/>
          <w:pgMar w:top="1580" w:right="1395" w:bottom="143" w:left="7872" w:header="720" w:footer="720" w:gutter="0"/>
          <w:cols w:space="720"/>
          <w:noEndnote/>
        </w:sectPr>
      </w:pPr>
    </w:p>
    <w:p w:rsidR="00592D71" w:rsidRDefault="00592D71" w:rsidP="00592D71">
      <w:pPr>
        <w:kinsoku w:val="0"/>
        <w:overflowPunct w:val="0"/>
        <w:autoSpaceDE/>
        <w:autoSpaceDN/>
        <w:adjustRightInd/>
        <w:spacing w:before="57" w:after="335" w:line="297" w:lineRule="exact"/>
        <w:jc w:val="both"/>
        <w:textAlignment w:val="baseline"/>
        <w:rPr>
          <w:b/>
          <w:bCs/>
          <w:spacing w:val="1"/>
          <w:sz w:val="26"/>
          <w:szCs w:val="26"/>
          <w:u w:val="single"/>
          <w:lang w:val="es-ES" w:eastAsia="es-ES"/>
        </w:rPr>
      </w:pPr>
      <w:r>
        <w:rPr>
          <w:spacing w:val="1"/>
          <w:sz w:val="26"/>
          <w:szCs w:val="26"/>
          <w:lang w:val="es-ES" w:eastAsia="es-ES"/>
        </w:rPr>
        <w:lastRenderedPageBreak/>
        <w:t xml:space="preserve">continuar con la tramitación del procedimiento específico en el que se produjo la inercia. Luego, la caducidad aplica tanto a los procedimientos iniciados a gestión de parte, como a los oficiosos. Es claro que en ocasiones, la Administración, junto a su función de resolver el asunto, la ley le asigna la condición de parte, al igual que al particular (numeral 275 LGAP). En este orden de ideas, la aplicación del instituto que se analiza a los procedimientos oficiosos es una consecuencia directa del principio de justicia pronta y cumplida, el cual permea incluso a la sede administrativa y el sentido que se le debe dar a las disposiciones de la LGAP. Lo anterior, en la medida en que es la única forma en que se tutela la posición jurídica del particular frente a la Administración que, motu propio, lo somete a un procedimiento administrativo del cual se pueden desprender consecuencias ablatorias, y que producto de la inercia de los órganos administrativos, se le coloca en una posición de total incerteza en cuanto a su situación jurídica. El reconocimiento de la caducidad dentro de los procedimientos administrativos regulados por la LGAP deviene de la interpretación armónica del ordinal 340 ya citado, no sólo con el principio de igualdad, sino también con el de seguridad jurídica, en la medida en que permite garantizar a los administrados que no se les someterá a un trámite en forma indefinida. El presupuesto de hecho que debe concurrir para que se deba decretar la caducidad, es precisamente la paralización del procedimiento por un lapso mayor de seis meses. En este punto, es necesario realizar algunas precisiones según el tipo de procedimiento que se trate, ya que, cuando este ha sido iniciado como consecuencia de una petición del particular en la que deduzca una pretensión propia (285 LGAP), para que pueda ser declarada la caducidad, la inercia debe ser imputable a este. Esto implica que la continuación del procedimiento dependía, exclusivamente, de una actuación suya que no se dio dentro del plazo legal fijado (seis meses). Por el contrario, en aquellos casos iniciados en forma oficiosa, la anterior precisión no resulta aplicable, siendo que al administrado no le asiste ninguna responsabilidad de impulsar la tramitación, según lo ya dicho, lo determinante es el transcurso de los seis meses sin actuaciones tendientes al avance del trámite. Ello es acorde con los postulados constitucionales que rigen la materia, dentro de los cuales se pueden citar, entre muchos otros, el de celeridad, eficiencia, respeto del debido proceso, razonabilidad y proporcionalidad. </w:t>
      </w:r>
      <w:r>
        <w:rPr>
          <w:b/>
          <w:bCs/>
          <w:spacing w:val="1"/>
          <w:sz w:val="26"/>
          <w:szCs w:val="26"/>
          <w:lang w:val="es-ES" w:eastAsia="es-ES"/>
        </w:rPr>
        <w:t xml:space="preserve">En suma, este Tribunal estima, de conformidad con lo dispuesto en el cardinal 340 de cita, para que un procedimiento sea declarado caduco, han de materializarse los siguientes requisitos: 1. Que el procedimiento se paralice. 2. Que sea por un plazo superior a los seis meses. 3. </w:t>
      </w:r>
      <w:r>
        <w:rPr>
          <w:b/>
          <w:bCs/>
          <w:spacing w:val="1"/>
          <w:sz w:val="26"/>
          <w:szCs w:val="26"/>
          <w:u w:val="single"/>
          <w:lang w:val="es-ES" w:eastAsia="es-ES"/>
        </w:rPr>
        <w:t xml:space="preserve">Que no </w:t>
      </w:r>
    </w:p>
    <w:p w:rsidR="00592D71" w:rsidRDefault="00592D71" w:rsidP="00592D71">
      <w:pPr>
        <w:widowControl/>
        <w:rPr>
          <w:sz w:val="24"/>
          <w:szCs w:val="24"/>
        </w:rPr>
        <w:sectPr w:rsidR="00592D71">
          <w:pgSz w:w="12307" w:h="15725"/>
          <w:pgMar w:top="1600" w:right="2324" w:bottom="132" w:left="2223" w:header="720" w:footer="720" w:gutter="0"/>
          <w:cols w:space="720"/>
          <w:noEndnote/>
        </w:sectPr>
      </w:pPr>
    </w:p>
    <w:p w:rsidR="00592D71" w:rsidRDefault="00592D71" w:rsidP="00592D71">
      <w:pPr>
        <w:tabs>
          <w:tab w:val="right" w:pos="3096"/>
        </w:tabs>
        <w:kinsoku w:val="0"/>
        <w:overflowPunct w:val="0"/>
        <w:autoSpaceDE/>
        <w:autoSpaceDN/>
        <w:adjustRightInd/>
        <w:spacing w:line="936" w:lineRule="exact"/>
        <w:textAlignment w:val="baseline"/>
        <w:rPr>
          <w:sz w:val="22"/>
          <w:szCs w:val="22"/>
          <w:lang w:val="es-ES" w:eastAsia="es-ES"/>
        </w:rPr>
      </w:pPr>
    </w:p>
    <w:p w:rsidR="00592D71" w:rsidRDefault="00592D71" w:rsidP="00592D71">
      <w:pPr>
        <w:widowControl/>
        <w:rPr>
          <w:sz w:val="24"/>
          <w:szCs w:val="24"/>
        </w:rPr>
        <w:sectPr w:rsidR="00592D71">
          <w:type w:val="continuous"/>
          <w:pgSz w:w="12307" w:h="15725"/>
          <w:pgMar w:top="1600" w:right="1214" w:bottom="132" w:left="7853" w:header="720" w:footer="720" w:gutter="0"/>
          <w:cols w:space="720"/>
          <w:noEndnote/>
        </w:sectPr>
      </w:pPr>
    </w:p>
    <w:p w:rsidR="00592D71" w:rsidRDefault="00592D71" w:rsidP="00592D71">
      <w:pPr>
        <w:kinsoku w:val="0"/>
        <w:overflowPunct w:val="0"/>
        <w:autoSpaceDE/>
        <w:autoSpaceDN/>
        <w:adjustRightInd/>
        <w:spacing w:before="14" w:line="294" w:lineRule="exact"/>
        <w:ind w:left="504" w:right="720"/>
        <w:jc w:val="both"/>
        <w:textAlignment w:val="baseline"/>
        <w:rPr>
          <w:i/>
          <w:iCs/>
          <w:sz w:val="26"/>
          <w:szCs w:val="26"/>
          <w:lang w:val="es-ES" w:eastAsia="es-ES"/>
        </w:rPr>
      </w:pPr>
      <w:r>
        <w:rPr>
          <w:b/>
          <w:bCs/>
          <w:sz w:val="26"/>
          <w:szCs w:val="26"/>
          <w:u w:val="single"/>
          <w:lang w:val="es-ES" w:eastAsia="es-ES"/>
        </w:rPr>
        <w:lastRenderedPageBreak/>
        <w:t>se haya dictado acto final.</w:t>
      </w:r>
      <w:r>
        <w:rPr>
          <w:b/>
          <w:bCs/>
          <w:sz w:val="26"/>
          <w:szCs w:val="26"/>
          <w:lang w:val="es-ES" w:eastAsia="es-ES"/>
        </w:rPr>
        <w:t xml:space="preserve"> 4. Que la inercia sea atribuible a quien gestionó el procedimiento </w:t>
      </w:r>
      <w:r>
        <w:rPr>
          <w:sz w:val="26"/>
          <w:szCs w:val="26"/>
          <w:lang w:val="es-ES" w:eastAsia="es-ES"/>
        </w:rPr>
        <w:t xml:space="preserve">(en este caso la Administración)."... </w:t>
      </w:r>
      <w:r>
        <w:rPr>
          <w:i/>
          <w:iCs/>
          <w:sz w:val="26"/>
          <w:szCs w:val="26"/>
          <w:lang w:val="es-ES" w:eastAsia="es-ES"/>
        </w:rPr>
        <w:t>(Ver, además, la Resolución de lo Contencioso Administrativo No. 201500060, entre Otras) (la negrilla es nuestra)</w:t>
      </w:r>
    </w:p>
    <w:p w:rsidR="00592D71" w:rsidRDefault="00592D71" w:rsidP="00592D71">
      <w:pPr>
        <w:kinsoku w:val="0"/>
        <w:overflowPunct w:val="0"/>
        <w:autoSpaceDE/>
        <w:autoSpaceDN/>
        <w:adjustRightInd/>
        <w:spacing w:before="597" w:line="297" w:lineRule="exact"/>
        <w:ind w:right="72"/>
        <w:jc w:val="both"/>
        <w:textAlignment w:val="baseline"/>
        <w:rPr>
          <w:sz w:val="26"/>
          <w:szCs w:val="26"/>
          <w:lang w:val="es-ES" w:eastAsia="es-ES"/>
        </w:rPr>
      </w:pPr>
      <w:r>
        <w:rPr>
          <w:sz w:val="26"/>
          <w:szCs w:val="26"/>
          <w:lang w:val="es-ES" w:eastAsia="es-ES"/>
        </w:rPr>
        <w:t>Y en reafirmación de lo anterior, la Resolución No. 201500123 del 12 de Noviembre del 2015, del Tribunal de Casación de lo Contencioso Administrativo, confirma lo señalado, al expresar:</w:t>
      </w:r>
    </w:p>
    <w:p w:rsidR="00592D71" w:rsidRDefault="00592D71" w:rsidP="00592D71">
      <w:pPr>
        <w:kinsoku w:val="0"/>
        <w:overflowPunct w:val="0"/>
        <w:autoSpaceDE/>
        <w:autoSpaceDN/>
        <w:adjustRightInd/>
        <w:spacing w:before="292" w:line="300" w:lineRule="exact"/>
        <w:ind w:left="504"/>
        <w:textAlignment w:val="baseline"/>
        <w:rPr>
          <w:spacing w:val="13"/>
          <w:sz w:val="26"/>
          <w:szCs w:val="26"/>
          <w:lang w:val="es-ES" w:eastAsia="es-ES"/>
        </w:rPr>
      </w:pPr>
      <w:r>
        <w:rPr>
          <w:b/>
          <w:bCs/>
          <w:spacing w:val="13"/>
          <w:sz w:val="26"/>
          <w:szCs w:val="26"/>
          <w:lang w:val="es-ES" w:eastAsia="es-ES"/>
        </w:rPr>
        <w:t xml:space="preserve">..."IV.- </w:t>
      </w:r>
      <w:r>
        <w:rPr>
          <w:spacing w:val="13"/>
          <w:sz w:val="26"/>
          <w:szCs w:val="26"/>
          <w:lang w:val="es-ES" w:eastAsia="es-ES"/>
        </w:rPr>
        <w:t>El principal argumento de la parte recurrente alude a que</w:t>
      </w:r>
    </w:p>
    <w:p w:rsidR="00592D71" w:rsidRDefault="00592D71" w:rsidP="00592D71">
      <w:pPr>
        <w:tabs>
          <w:tab w:val="left" w:pos="3240"/>
          <w:tab w:val="left" w:pos="5616"/>
          <w:tab w:val="right" w:pos="8280"/>
        </w:tabs>
        <w:kinsoku w:val="0"/>
        <w:overflowPunct w:val="0"/>
        <w:autoSpaceDE/>
        <w:autoSpaceDN/>
        <w:adjustRightInd/>
        <w:spacing w:before="5" w:line="297" w:lineRule="exact"/>
        <w:ind w:left="504" w:right="720"/>
        <w:jc w:val="both"/>
        <w:textAlignment w:val="baseline"/>
        <w:rPr>
          <w:spacing w:val="1"/>
          <w:sz w:val="26"/>
          <w:szCs w:val="26"/>
          <w:lang w:val="es-ES" w:eastAsia="es-ES"/>
        </w:rPr>
      </w:pPr>
      <w:r>
        <w:rPr>
          <w:spacing w:val="1"/>
          <w:sz w:val="26"/>
          <w:szCs w:val="26"/>
          <w:lang w:val="es-ES" w:eastAsia="es-ES"/>
        </w:rPr>
        <w:t>no resulta</w:t>
      </w:r>
      <w:r>
        <w:rPr>
          <w:spacing w:val="1"/>
          <w:sz w:val="26"/>
          <w:szCs w:val="26"/>
          <w:lang w:val="es-ES" w:eastAsia="es-ES"/>
        </w:rPr>
        <w:tab/>
        <w:t>posible</w:t>
      </w:r>
      <w:r>
        <w:rPr>
          <w:spacing w:val="1"/>
          <w:sz w:val="26"/>
          <w:szCs w:val="26"/>
          <w:lang w:val="es-ES" w:eastAsia="es-ES"/>
        </w:rPr>
        <w:tab/>
        <w:t>declarar</w:t>
      </w:r>
      <w:r>
        <w:rPr>
          <w:spacing w:val="1"/>
          <w:sz w:val="26"/>
          <w:szCs w:val="26"/>
          <w:lang w:val="es-ES" w:eastAsia="es-ES"/>
        </w:rPr>
        <w:tab/>
        <w:t>la</w:t>
      </w:r>
      <w:r>
        <w:rPr>
          <w:spacing w:val="1"/>
          <w:sz w:val="26"/>
          <w:szCs w:val="26"/>
          <w:lang w:val="es-ES" w:eastAsia="es-ES"/>
        </w:rPr>
        <w:br/>
        <w:t xml:space="preserve">caducidad del procedimiento administrativo, cuando no se hubiera aducido durante su tramitación, antes del dictado del acto final. Objeta, el Tribunal la decretara, pese a que el señor </w:t>
      </w:r>
      <w:r w:rsidR="00165941">
        <w:rPr>
          <w:spacing w:val="1"/>
          <w:sz w:val="26"/>
          <w:szCs w:val="26"/>
          <w:lang w:val="es-ES" w:eastAsia="es-ES"/>
        </w:rPr>
        <w:t>GAVO</w:t>
      </w:r>
      <w:r>
        <w:rPr>
          <w:spacing w:val="1"/>
          <w:sz w:val="26"/>
          <w:szCs w:val="26"/>
          <w:lang w:val="es-ES" w:eastAsia="es-ES"/>
        </w:rPr>
        <w:t xml:space="preserve"> la alegó hasta al interponer la demanda, una vez que se había emitido la resolución de despido en su contra. Es indudable, que este instituto, se erige como un mecanismo mediante el cual se castiga la</w:t>
      </w:r>
    </w:p>
    <w:p w:rsidR="00592D71" w:rsidRDefault="00592D71" w:rsidP="00592D71">
      <w:pPr>
        <w:tabs>
          <w:tab w:val="left" w:pos="1728"/>
          <w:tab w:val="left" w:pos="2664"/>
          <w:tab w:val="left" w:pos="3600"/>
          <w:tab w:val="left" w:pos="4752"/>
          <w:tab w:val="left" w:pos="5616"/>
          <w:tab w:val="left" w:pos="6264"/>
          <w:tab w:val="right" w:pos="8280"/>
        </w:tabs>
        <w:kinsoku w:val="0"/>
        <w:overflowPunct w:val="0"/>
        <w:autoSpaceDE/>
        <w:autoSpaceDN/>
        <w:adjustRightInd/>
        <w:spacing w:before="1" w:line="297" w:lineRule="exact"/>
        <w:ind w:left="504" w:right="720"/>
        <w:jc w:val="both"/>
        <w:textAlignment w:val="baseline"/>
        <w:rPr>
          <w:b/>
          <w:bCs/>
          <w:spacing w:val="6"/>
          <w:sz w:val="26"/>
          <w:szCs w:val="26"/>
          <w:lang w:val="es-ES" w:eastAsia="es-ES"/>
        </w:rPr>
      </w:pPr>
      <w:r>
        <w:rPr>
          <w:spacing w:val="6"/>
          <w:sz w:val="26"/>
          <w:szCs w:val="26"/>
          <w:lang w:val="es-ES" w:eastAsia="es-ES"/>
        </w:rPr>
        <w:t>inercia</w:t>
      </w:r>
      <w:r>
        <w:rPr>
          <w:spacing w:val="6"/>
          <w:sz w:val="26"/>
          <w:szCs w:val="26"/>
          <w:lang w:val="es-ES" w:eastAsia="es-ES"/>
        </w:rPr>
        <w:tab/>
        <w:t>por</w:t>
      </w:r>
      <w:r>
        <w:rPr>
          <w:spacing w:val="6"/>
          <w:sz w:val="26"/>
          <w:szCs w:val="26"/>
          <w:lang w:val="es-ES" w:eastAsia="es-ES"/>
        </w:rPr>
        <w:tab/>
        <w:t>seis</w:t>
      </w:r>
      <w:r>
        <w:rPr>
          <w:spacing w:val="6"/>
          <w:sz w:val="26"/>
          <w:szCs w:val="26"/>
          <w:lang w:val="es-ES" w:eastAsia="es-ES"/>
        </w:rPr>
        <w:tab/>
        <w:t>meses</w:t>
      </w:r>
      <w:r>
        <w:rPr>
          <w:spacing w:val="6"/>
          <w:sz w:val="26"/>
          <w:szCs w:val="26"/>
          <w:lang w:val="es-ES" w:eastAsia="es-ES"/>
        </w:rPr>
        <w:tab/>
        <w:t>en</w:t>
      </w:r>
      <w:r>
        <w:rPr>
          <w:spacing w:val="6"/>
          <w:sz w:val="26"/>
          <w:szCs w:val="26"/>
          <w:lang w:val="es-ES" w:eastAsia="es-ES"/>
        </w:rPr>
        <w:tab/>
        <w:t>la</w:t>
      </w:r>
      <w:r>
        <w:rPr>
          <w:spacing w:val="6"/>
          <w:sz w:val="26"/>
          <w:szCs w:val="26"/>
          <w:lang w:val="es-ES" w:eastAsia="es-ES"/>
        </w:rPr>
        <w:tab/>
        <w:t>tramitación</w:t>
      </w:r>
      <w:r>
        <w:rPr>
          <w:spacing w:val="6"/>
          <w:sz w:val="26"/>
          <w:szCs w:val="26"/>
          <w:lang w:val="es-ES" w:eastAsia="es-ES"/>
        </w:rPr>
        <w:tab/>
        <w:t>de</w:t>
      </w:r>
      <w:r>
        <w:rPr>
          <w:spacing w:val="6"/>
          <w:sz w:val="26"/>
          <w:szCs w:val="26"/>
          <w:lang w:val="es-ES" w:eastAsia="es-ES"/>
        </w:rPr>
        <w:br/>
        <w:t xml:space="preserve">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que se declare la caducidad de un procedimiento, han de plasmarse varios requisitos, que el procedimiento se paralice por un lapso superior a los seis meses; no se haya dictado acto final, la inercia sea achacable a quien gestionó el procedimiento (en este caso la Administración) y sea declarada (o rechazada) en el propio procedimiento. De ahí, es indispensable analizar lo acontecido en la tramitación del procedimiento a </w:t>
      </w:r>
      <w:proofErr w:type="spellStart"/>
      <w:r>
        <w:rPr>
          <w:spacing w:val="6"/>
          <w:sz w:val="26"/>
          <w:szCs w:val="26"/>
          <w:lang w:val="es-ES" w:eastAsia="es-ES"/>
        </w:rPr>
        <w:t>fm</w:t>
      </w:r>
      <w:proofErr w:type="spellEnd"/>
      <w:r>
        <w:rPr>
          <w:spacing w:val="6"/>
          <w:sz w:val="26"/>
          <w:szCs w:val="26"/>
          <w:lang w:val="es-ES" w:eastAsia="es-ES"/>
        </w:rPr>
        <w:t xml:space="preserve">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w:t>
      </w:r>
      <w:r>
        <w:rPr>
          <w:b/>
          <w:bCs/>
          <w:spacing w:val="6"/>
          <w:sz w:val="26"/>
          <w:szCs w:val="26"/>
          <w:lang w:val="es-ES" w:eastAsia="es-ES"/>
        </w:rPr>
        <w:t>No obstante, también se observa, pese a tal inactividad, el señor</w:t>
      </w:r>
    </w:p>
    <w:p w:rsidR="00592D71" w:rsidRDefault="00592D71" w:rsidP="00592D71">
      <w:pPr>
        <w:tabs>
          <w:tab w:val="left" w:pos="3096"/>
          <w:tab w:val="left" w:pos="4176"/>
          <w:tab w:val="left" w:pos="5760"/>
          <w:tab w:val="right" w:pos="8280"/>
        </w:tabs>
        <w:kinsoku w:val="0"/>
        <w:overflowPunct w:val="0"/>
        <w:autoSpaceDE/>
        <w:autoSpaceDN/>
        <w:adjustRightInd/>
        <w:spacing w:before="7" w:after="378" w:line="300" w:lineRule="exact"/>
        <w:ind w:left="504" w:right="720"/>
        <w:jc w:val="both"/>
        <w:textAlignment w:val="baseline"/>
        <w:rPr>
          <w:b/>
          <w:bCs/>
          <w:spacing w:val="1"/>
          <w:sz w:val="26"/>
          <w:szCs w:val="26"/>
          <w:lang w:val="es-ES" w:eastAsia="es-ES"/>
        </w:rPr>
      </w:pPr>
      <w:r>
        <w:rPr>
          <w:b/>
          <w:bCs/>
          <w:spacing w:val="1"/>
          <w:sz w:val="26"/>
          <w:szCs w:val="26"/>
          <w:lang w:val="es-ES" w:eastAsia="es-ES"/>
        </w:rPr>
        <w:t>Vargas Obando</w:t>
      </w:r>
      <w:r>
        <w:rPr>
          <w:b/>
          <w:bCs/>
          <w:spacing w:val="1"/>
          <w:sz w:val="26"/>
          <w:szCs w:val="26"/>
          <w:lang w:val="es-ES" w:eastAsia="es-ES"/>
        </w:rPr>
        <w:tab/>
        <w:t>en</w:t>
      </w:r>
      <w:r>
        <w:rPr>
          <w:b/>
          <w:bCs/>
          <w:spacing w:val="1"/>
          <w:sz w:val="26"/>
          <w:szCs w:val="26"/>
          <w:lang w:val="es-ES" w:eastAsia="es-ES"/>
        </w:rPr>
        <w:tab/>
        <w:t>ningún</w:t>
      </w:r>
      <w:r>
        <w:rPr>
          <w:b/>
          <w:bCs/>
          <w:spacing w:val="1"/>
          <w:sz w:val="26"/>
          <w:szCs w:val="26"/>
          <w:lang w:val="es-ES" w:eastAsia="es-ES"/>
        </w:rPr>
        <w:tab/>
        <w:t>momento</w:t>
      </w:r>
      <w:r>
        <w:rPr>
          <w:b/>
          <w:bCs/>
          <w:spacing w:val="1"/>
          <w:sz w:val="26"/>
          <w:szCs w:val="26"/>
          <w:lang w:val="es-ES" w:eastAsia="es-ES"/>
        </w:rPr>
        <w:tab/>
        <w:t>alegó</w:t>
      </w:r>
      <w:r>
        <w:rPr>
          <w:b/>
          <w:bCs/>
          <w:spacing w:val="1"/>
          <w:sz w:val="26"/>
          <w:szCs w:val="26"/>
          <w:lang w:val="es-ES" w:eastAsia="es-ES"/>
        </w:rPr>
        <w:br/>
        <w:t>la caducidad del procedimiento, en razón de lo cual la Administración procedió a dictar el acto donde dispuso despedirlo.</w:t>
      </w:r>
    </w:p>
    <w:p w:rsidR="00592D71" w:rsidRDefault="00592D71" w:rsidP="00592D71">
      <w:pPr>
        <w:widowControl/>
        <w:rPr>
          <w:sz w:val="24"/>
          <w:szCs w:val="24"/>
        </w:rPr>
        <w:sectPr w:rsidR="00592D71">
          <w:pgSz w:w="12298" w:h="15686"/>
          <w:pgMar w:top="1560" w:right="1594" w:bottom="153" w:left="1704" w:header="720" w:footer="720" w:gutter="0"/>
          <w:cols w:space="720"/>
          <w:noEndnote/>
        </w:sectPr>
      </w:pPr>
    </w:p>
    <w:p w:rsidR="00592D71" w:rsidRDefault="00592D71" w:rsidP="00592D71">
      <w:pPr>
        <w:widowControl/>
        <w:rPr>
          <w:sz w:val="24"/>
          <w:szCs w:val="24"/>
        </w:rPr>
        <w:sectPr w:rsidR="00592D71">
          <w:type w:val="continuous"/>
          <w:pgSz w:w="12298" w:h="15686"/>
          <w:pgMar w:top="1560" w:right="1318" w:bottom="153" w:left="7740" w:header="720" w:footer="720" w:gutter="0"/>
          <w:cols w:space="720"/>
          <w:noEndnote/>
        </w:sectPr>
      </w:pPr>
    </w:p>
    <w:p w:rsidR="00592D71" w:rsidRDefault="00592D71" w:rsidP="00592D71">
      <w:pPr>
        <w:kinsoku w:val="0"/>
        <w:overflowPunct w:val="0"/>
        <w:autoSpaceDE/>
        <w:autoSpaceDN/>
        <w:adjustRightInd/>
        <w:spacing w:before="11" w:line="294" w:lineRule="exact"/>
        <w:ind w:left="648" w:right="648"/>
        <w:jc w:val="both"/>
        <w:textAlignment w:val="baseline"/>
        <w:rPr>
          <w:b/>
          <w:bCs/>
          <w:i/>
          <w:iCs/>
          <w:sz w:val="26"/>
          <w:szCs w:val="26"/>
          <w:lang w:val="es-ES" w:eastAsia="es-ES"/>
        </w:rPr>
      </w:pPr>
      <w:r>
        <w:rPr>
          <w:b/>
          <w:bCs/>
          <w:sz w:val="26"/>
          <w:szCs w:val="26"/>
          <w:lang w:val="es-ES" w:eastAsia="es-ES"/>
        </w:rPr>
        <w:lastRenderedPageBreak/>
        <w:t xml:space="preserve">Es claro, se faltó al requisito establecido en la norma de comentario, a saber, que la caducidad se decretara antes del dictado del acto final o al menos hubiera sido acusada por el interesado."... </w:t>
      </w:r>
      <w:r>
        <w:rPr>
          <w:b/>
          <w:bCs/>
          <w:i/>
          <w:iCs/>
          <w:sz w:val="26"/>
          <w:szCs w:val="26"/>
          <w:lang w:val="es-ES" w:eastAsia="es-ES"/>
        </w:rPr>
        <w:t>(el resaltado es nuestro)</w:t>
      </w:r>
    </w:p>
    <w:p w:rsidR="00592D71" w:rsidRDefault="00592D71" w:rsidP="00592D71">
      <w:pPr>
        <w:kinsoku w:val="0"/>
        <w:overflowPunct w:val="0"/>
        <w:autoSpaceDE/>
        <w:autoSpaceDN/>
        <w:adjustRightInd/>
        <w:spacing w:before="280" w:line="301" w:lineRule="exact"/>
        <w:ind w:left="72" w:right="72"/>
        <w:jc w:val="both"/>
        <w:textAlignment w:val="baseline"/>
        <w:rPr>
          <w:sz w:val="26"/>
          <w:szCs w:val="26"/>
          <w:lang w:val="es-ES" w:eastAsia="es-ES"/>
        </w:rPr>
      </w:pPr>
      <w:r>
        <w:rPr>
          <w:sz w:val="26"/>
          <w:szCs w:val="26"/>
          <w:lang w:val="es-ES" w:eastAsia="es-ES"/>
        </w:rPr>
        <w:t xml:space="preserve">Así las cosas y dado que en lo que nos ocupa, en cuanto al Caso Particular de Resolución, no se Visualiza que en el Curso o en el Devenir del Procedimiento, antes del Dictado de su Acto Final, la Parte Recurrente haya Requerido o Invocado la Caducidad de alguna forma clara y patente. Siendo hasta en la Etapa Recursiva que la misma es Presentada </w:t>
      </w:r>
      <w:r>
        <w:rPr>
          <w:i/>
          <w:iCs/>
          <w:sz w:val="26"/>
          <w:szCs w:val="26"/>
          <w:lang w:val="es-ES" w:eastAsia="es-ES"/>
        </w:rPr>
        <w:t xml:space="preserve">(ver Folio 000005 frente y vuelto del Expediente del Caso), </w:t>
      </w:r>
      <w:r>
        <w:rPr>
          <w:sz w:val="26"/>
          <w:szCs w:val="26"/>
          <w:lang w:val="es-ES" w:eastAsia="es-ES"/>
        </w:rPr>
        <w:t>el recurso de manas deviene en improcedente en cuanto a lo referido.</w:t>
      </w:r>
    </w:p>
    <w:p w:rsidR="00592D71" w:rsidRDefault="00592D71" w:rsidP="00592D71">
      <w:pPr>
        <w:tabs>
          <w:tab w:val="right" w:pos="8928"/>
        </w:tabs>
        <w:kinsoku w:val="0"/>
        <w:overflowPunct w:val="0"/>
        <w:autoSpaceDE/>
        <w:autoSpaceDN/>
        <w:adjustRightInd/>
        <w:spacing w:before="616" w:line="289" w:lineRule="exact"/>
        <w:ind w:left="72" w:right="72"/>
        <w:jc w:val="both"/>
        <w:textAlignment w:val="baseline"/>
        <w:rPr>
          <w:b/>
          <w:bCs/>
          <w:sz w:val="26"/>
          <w:szCs w:val="26"/>
          <w:lang w:val="es-ES" w:eastAsia="es-ES"/>
        </w:rPr>
      </w:pPr>
      <w:r>
        <w:rPr>
          <w:b/>
          <w:bCs/>
          <w:sz w:val="26"/>
          <w:szCs w:val="26"/>
          <w:lang w:val="es-ES" w:eastAsia="es-ES"/>
        </w:rPr>
        <w:t>B.-</w:t>
      </w:r>
      <w:r>
        <w:rPr>
          <w:b/>
          <w:bCs/>
          <w:sz w:val="26"/>
          <w:szCs w:val="26"/>
          <w:lang w:val="es-ES" w:eastAsia="es-ES"/>
        </w:rPr>
        <w:tab/>
        <w:t>SOBRE LA CADUCIDAD DE LAS CONCESIONES DE TAXI POR EL</w:t>
      </w:r>
    </w:p>
    <w:p w:rsidR="00592D71" w:rsidRDefault="00592D71" w:rsidP="00592D71">
      <w:pPr>
        <w:kinsoku w:val="0"/>
        <w:overflowPunct w:val="0"/>
        <w:autoSpaceDE/>
        <w:autoSpaceDN/>
        <w:adjustRightInd/>
        <w:spacing w:line="301" w:lineRule="exact"/>
        <w:ind w:left="72" w:right="72"/>
        <w:jc w:val="both"/>
        <w:textAlignment w:val="baseline"/>
        <w:rPr>
          <w:b/>
          <w:bCs/>
          <w:sz w:val="26"/>
          <w:szCs w:val="26"/>
          <w:lang w:val="es-ES" w:eastAsia="es-ES"/>
        </w:rPr>
      </w:pPr>
      <w:r>
        <w:rPr>
          <w:b/>
          <w:bCs/>
          <w:sz w:val="26"/>
          <w:szCs w:val="26"/>
          <w:lang w:val="es-ES" w:eastAsia="es-ES"/>
        </w:rPr>
        <w:t>OTORGAMIENTO DE PODERES GENERALÍSIMOS, GENERALES O AMPLIOS SOBRE O EN CUANTO A LAS MISMAS:</w:t>
      </w:r>
    </w:p>
    <w:p w:rsidR="00592D71" w:rsidRDefault="00592D71" w:rsidP="00592D71">
      <w:pPr>
        <w:kinsoku w:val="0"/>
        <w:overflowPunct w:val="0"/>
        <w:autoSpaceDE/>
        <w:autoSpaceDN/>
        <w:adjustRightInd/>
        <w:spacing w:before="201" w:line="302" w:lineRule="exact"/>
        <w:ind w:left="72" w:right="72"/>
        <w:jc w:val="both"/>
        <w:textAlignment w:val="baseline"/>
        <w:rPr>
          <w:sz w:val="26"/>
          <w:szCs w:val="26"/>
          <w:lang w:val="es-ES" w:eastAsia="es-ES"/>
        </w:rPr>
      </w:pPr>
      <w:r>
        <w:rPr>
          <w:sz w:val="26"/>
          <w:szCs w:val="26"/>
          <w:lang w:val="es-ES" w:eastAsia="es-ES"/>
        </w:rPr>
        <w:t xml:space="preserve">En el pasado reciente este Tribunal sostuvo la tesis y postura contraria a la del Consejo de Transporte Público, siendo de nuestro criterio que en cuanto a la generalidad de los Procedimientos de Caducidad de Concesiones de Taxi que se llevaron en el ámbito del Consejo de Transporte Público y en los cuales se determinó </w:t>
      </w:r>
      <w:r>
        <w:rPr>
          <w:i/>
          <w:iCs/>
          <w:sz w:val="26"/>
          <w:szCs w:val="26"/>
          <w:lang w:val="es-ES" w:eastAsia="es-ES"/>
        </w:rPr>
        <w:t xml:space="preserve">—en lo final- </w:t>
      </w:r>
      <w:r>
        <w:rPr>
          <w:sz w:val="26"/>
          <w:szCs w:val="26"/>
          <w:lang w:val="es-ES" w:eastAsia="es-ES"/>
        </w:rPr>
        <w:t xml:space="preserve">la Caducidad de las mismas, al estimarse que con el Otorgamiento de Poderes Generalísimos, Generales y Especiales </w:t>
      </w:r>
      <w:r>
        <w:rPr>
          <w:i/>
          <w:iCs/>
          <w:sz w:val="26"/>
          <w:szCs w:val="26"/>
          <w:lang w:val="es-ES" w:eastAsia="es-ES"/>
        </w:rPr>
        <w:t xml:space="preserve">(estos últimos con alcances muy amplios) </w:t>
      </w:r>
      <w:r>
        <w:rPr>
          <w:sz w:val="26"/>
          <w:szCs w:val="26"/>
          <w:lang w:val="es-ES" w:eastAsia="es-ES"/>
        </w:rPr>
        <w:t xml:space="preserve">se habría dispuesto </w:t>
      </w:r>
      <w:r>
        <w:rPr>
          <w:i/>
          <w:iCs/>
          <w:sz w:val="26"/>
          <w:szCs w:val="26"/>
          <w:lang w:val="es-ES" w:eastAsia="es-ES"/>
        </w:rPr>
        <w:t xml:space="preserve">—consecuentemente- </w:t>
      </w:r>
      <w:r>
        <w:rPr>
          <w:sz w:val="26"/>
          <w:szCs w:val="26"/>
          <w:lang w:val="es-ES" w:eastAsia="es-ES"/>
        </w:rPr>
        <w:t xml:space="preserve">un Traspaso </w:t>
      </w:r>
      <w:proofErr w:type="spellStart"/>
      <w:r>
        <w:rPr>
          <w:sz w:val="26"/>
          <w:szCs w:val="26"/>
          <w:lang w:val="es-ES" w:eastAsia="es-ES"/>
        </w:rPr>
        <w:t>Inautorizado</w:t>
      </w:r>
      <w:proofErr w:type="spellEnd"/>
      <w:r>
        <w:rPr>
          <w:sz w:val="26"/>
          <w:szCs w:val="26"/>
          <w:lang w:val="es-ES" w:eastAsia="es-ES"/>
        </w:rPr>
        <w:t xml:space="preserve"> y Sancionado del Derecho de Concesión, en Infracción a los Deberes y Obligaciones Legales y Contractuales de los Concesionarios y del Servicio Público; ello se habría generado </w:t>
      </w:r>
      <w:r>
        <w:rPr>
          <w:i/>
          <w:iCs/>
          <w:sz w:val="26"/>
          <w:szCs w:val="26"/>
          <w:lang w:val="es-ES" w:eastAsia="es-ES"/>
        </w:rPr>
        <w:t xml:space="preserve">—con la consecuente </w:t>
      </w:r>
      <w:proofErr w:type="spellStart"/>
      <w:r>
        <w:rPr>
          <w:i/>
          <w:iCs/>
          <w:sz w:val="26"/>
          <w:szCs w:val="26"/>
          <w:lang w:val="es-ES" w:eastAsia="es-ES"/>
        </w:rPr>
        <w:t>viciación</w:t>
      </w:r>
      <w:proofErr w:type="spellEnd"/>
      <w:r>
        <w:rPr>
          <w:i/>
          <w:iCs/>
          <w:sz w:val="26"/>
          <w:szCs w:val="26"/>
          <w:lang w:val="es-ES" w:eastAsia="es-ES"/>
        </w:rPr>
        <w:t xml:space="preserve">- </w:t>
      </w:r>
      <w:r>
        <w:rPr>
          <w:sz w:val="26"/>
          <w:szCs w:val="26"/>
          <w:lang w:val="es-ES" w:eastAsia="es-ES"/>
        </w:rPr>
        <w:t xml:space="preserve">sin haberse dado una demostración real </w:t>
      </w:r>
      <w:r>
        <w:rPr>
          <w:i/>
          <w:iCs/>
          <w:sz w:val="26"/>
          <w:szCs w:val="26"/>
          <w:lang w:val="es-ES" w:eastAsia="es-ES"/>
        </w:rPr>
        <w:t xml:space="preserve">(Principio de Verdad Real) </w:t>
      </w:r>
      <w:r>
        <w:rPr>
          <w:sz w:val="26"/>
          <w:szCs w:val="26"/>
          <w:lang w:val="es-ES" w:eastAsia="es-ES"/>
        </w:rPr>
        <w:t xml:space="preserve">sobre el Traspaso en cuestión </w:t>
      </w:r>
      <w:r>
        <w:rPr>
          <w:i/>
          <w:iCs/>
          <w:sz w:val="26"/>
          <w:szCs w:val="26"/>
          <w:lang w:val="es-ES" w:eastAsia="es-ES"/>
        </w:rPr>
        <w:t xml:space="preserve">(sobre sí los mismos se dieron de forma efectiva). </w:t>
      </w:r>
      <w:r>
        <w:rPr>
          <w:sz w:val="26"/>
          <w:szCs w:val="26"/>
          <w:lang w:val="es-ES" w:eastAsia="es-ES"/>
        </w:rPr>
        <w:t xml:space="preserve">Y bajo esa tesis factico-jurídica válida, dispuso la Anulación de diversos Actos del Consejo de Transporte Público, en los cuales se Decretaron Caducidades de Concesiones de Taxi bajo las premisas </w:t>
      </w:r>
      <w:r>
        <w:rPr>
          <w:i/>
          <w:iCs/>
          <w:sz w:val="26"/>
          <w:szCs w:val="26"/>
          <w:lang w:val="es-ES" w:eastAsia="es-ES"/>
        </w:rPr>
        <w:t xml:space="preserve">supra </w:t>
      </w:r>
      <w:r>
        <w:rPr>
          <w:sz w:val="26"/>
          <w:szCs w:val="26"/>
          <w:lang w:val="es-ES" w:eastAsia="es-ES"/>
        </w:rPr>
        <w:t xml:space="preserve">señaladas. Siendo pertinente señalar que para este Tribunal dicha tesis aun hoy, </w:t>
      </w:r>
      <w:r>
        <w:rPr>
          <w:i/>
          <w:iCs/>
          <w:sz w:val="26"/>
          <w:szCs w:val="26"/>
          <w:lang w:val="es-ES" w:eastAsia="es-ES"/>
        </w:rPr>
        <w:t xml:space="preserve">en sentido laxo, </w:t>
      </w:r>
      <w:r>
        <w:rPr>
          <w:sz w:val="26"/>
          <w:szCs w:val="26"/>
          <w:lang w:val="es-ES" w:eastAsia="es-ES"/>
        </w:rPr>
        <w:t>sería procedente.</w:t>
      </w:r>
    </w:p>
    <w:p w:rsidR="00592D71" w:rsidRDefault="00592D71" w:rsidP="00592D71">
      <w:pPr>
        <w:kinsoku w:val="0"/>
        <w:overflowPunct w:val="0"/>
        <w:autoSpaceDE/>
        <w:autoSpaceDN/>
        <w:adjustRightInd/>
        <w:spacing w:before="284" w:after="662" w:line="301" w:lineRule="exact"/>
        <w:ind w:left="72" w:right="72"/>
        <w:jc w:val="both"/>
        <w:textAlignment w:val="baseline"/>
        <w:rPr>
          <w:spacing w:val="-1"/>
          <w:sz w:val="26"/>
          <w:szCs w:val="26"/>
          <w:lang w:val="es-ES" w:eastAsia="es-ES"/>
        </w:rPr>
      </w:pPr>
      <w:r>
        <w:rPr>
          <w:spacing w:val="-1"/>
          <w:sz w:val="26"/>
          <w:szCs w:val="26"/>
          <w:lang w:val="es-ES" w:eastAsia="es-ES"/>
        </w:rPr>
        <w:t xml:space="preserve">Ahora bien, no obstante lo anterior </w:t>
      </w:r>
      <w:r>
        <w:rPr>
          <w:spacing w:val="-1"/>
          <w:sz w:val="26"/>
          <w:szCs w:val="26"/>
          <w:u w:val="single"/>
          <w:lang w:val="es-ES" w:eastAsia="es-ES"/>
        </w:rPr>
        <w:t>y en su perjuicio,</w:t>
      </w:r>
      <w:r>
        <w:rPr>
          <w:spacing w:val="-1"/>
          <w:sz w:val="26"/>
          <w:szCs w:val="26"/>
          <w:lang w:val="es-ES" w:eastAsia="es-ES"/>
        </w:rPr>
        <w:t xml:space="preserve"> para varios Casos Precedentes a los últimos definidos por este Tribunal y en casos que estimaron pertinente llevar el asunto de forma directa ante los Estrados Judiciales; particularmente ante la Jurisdicción Contencioso Administrativa, dicha Jurisdicción y, particularmente, la Sala Primera de la Corte Suprema de Justicia, como encargada y competente de revisión de las materias definida en dicha Jurisdicción, vino a establecer </w:t>
      </w:r>
      <w:r>
        <w:rPr>
          <w:i/>
          <w:iCs/>
          <w:spacing w:val="-1"/>
          <w:sz w:val="26"/>
          <w:szCs w:val="26"/>
          <w:lang w:val="es-ES" w:eastAsia="es-ES"/>
        </w:rPr>
        <w:t xml:space="preserve">—como regla general jurisprudencial- </w:t>
      </w:r>
      <w:r>
        <w:rPr>
          <w:spacing w:val="-1"/>
          <w:sz w:val="26"/>
          <w:szCs w:val="26"/>
          <w:lang w:val="es-ES" w:eastAsia="es-ES"/>
        </w:rPr>
        <w:t>que dado que los Poderes Generalísimos, Generales y</w:t>
      </w:r>
    </w:p>
    <w:p w:rsidR="00592D71" w:rsidRDefault="00592D71" w:rsidP="00592D71">
      <w:pPr>
        <w:widowControl/>
        <w:rPr>
          <w:sz w:val="24"/>
          <w:szCs w:val="24"/>
        </w:rPr>
        <w:sectPr w:rsidR="00592D71">
          <w:pgSz w:w="12293" w:h="15710"/>
          <w:pgMar w:top="1620" w:right="1680" w:bottom="554" w:left="1613" w:header="720" w:footer="720" w:gutter="0"/>
          <w:cols w:space="720"/>
          <w:noEndnote/>
        </w:sectPr>
      </w:pPr>
    </w:p>
    <w:p w:rsidR="00592D71" w:rsidRDefault="00592D71" w:rsidP="00592D71">
      <w:pPr>
        <w:widowControl/>
        <w:rPr>
          <w:sz w:val="24"/>
          <w:szCs w:val="24"/>
        </w:rPr>
        <w:sectPr w:rsidR="00592D71">
          <w:type w:val="continuous"/>
          <w:pgSz w:w="12293" w:h="15710"/>
          <w:pgMar w:top="1620" w:right="1560" w:bottom="554" w:left="7493" w:header="720" w:footer="720" w:gutter="0"/>
          <w:cols w:space="720"/>
          <w:noEndnote/>
        </w:sectPr>
      </w:pPr>
    </w:p>
    <w:p w:rsidR="00592D71" w:rsidRDefault="00592D71" w:rsidP="00592D71">
      <w:pPr>
        <w:kinsoku w:val="0"/>
        <w:overflowPunct w:val="0"/>
        <w:autoSpaceDE/>
        <w:autoSpaceDN/>
        <w:adjustRightInd/>
        <w:spacing w:before="25" w:line="297" w:lineRule="exact"/>
        <w:ind w:left="72" w:right="72"/>
        <w:jc w:val="both"/>
        <w:textAlignment w:val="baseline"/>
        <w:rPr>
          <w:sz w:val="26"/>
          <w:szCs w:val="26"/>
          <w:lang w:val="es-ES" w:eastAsia="es-ES"/>
        </w:rPr>
      </w:pPr>
      <w:r>
        <w:rPr>
          <w:sz w:val="26"/>
          <w:szCs w:val="26"/>
          <w:lang w:val="es-ES" w:eastAsia="es-ES"/>
        </w:rPr>
        <w:lastRenderedPageBreak/>
        <w:t xml:space="preserve">Especiales </w:t>
      </w:r>
      <w:r>
        <w:rPr>
          <w:i/>
          <w:iCs/>
          <w:sz w:val="26"/>
          <w:szCs w:val="26"/>
          <w:lang w:val="es-ES" w:eastAsia="es-ES"/>
        </w:rPr>
        <w:t xml:space="preserve">(estos últimos con alcances muy amplios), </w:t>
      </w:r>
      <w:r>
        <w:rPr>
          <w:sz w:val="26"/>
          <w:szCs w:val="26"/>
          <w:lang w:val="es-ES" w:eastAsia="es-ES"/>
        </w:rPr>
        <w:t xml:space="preserve">por sus contenidos propios y, particularmente, por las amplias atribuciones y alcances que les dan los numerales 1254 a 1256 del Código Civil y concordantes de ese mismo Cuerpo Normativo y del Código de Comercio, en cuenta importancia Transferencias de la Tenencia Efectiva y Real, de la Titularidad y de la Administración y/o Explotación del Servicio o de la Concesión y/o de Atributos correlativos, es </w:t>
      </w:r>
      <w:r>
        <w:rPr>
          <w:b/>
          <w:bCs/>
          <w:sz w:val="26"/>
          <w:szCs w:val="26"/>
          <w:lang w:val="es-ES" w:eastAsia="es-ES"/>
        </w:rPr>
        <w:t xml:space="preserve">INCOMPATIBLE CON EL CARÁCTER PERSONALÍSIMO QUE ES INHERENTE A LAS CONCESIONES DE TAXI, CONSTITUYÉNDOSE ASÍ UNA SITUACIÓN DE FALTA GRAVE CONTRA EL SERVICIO Y CONTRA LOS DEBERES Y OBLIGACIONES DEL CONCESIONARIO, LA CUAL DETERMINA LA CADUCIDAD DEL DERECHO DE CONCESIÓN DEL QUE SE TRATE, </w:t>
      </w:r>
      <w:r>
        <w:rPr>
          <w:sz w:val="26"/>
          <w:szCs w:val="26"/>
          <w:lang w:val="es-ES" w:eastAsia="es-ES"/>
        </w:rPr>
        <w:t>según lo Dispuesto por el Numeral 40, Inciso c), de la Ley No. 7969, en concordancia con los respectivos Contratos de Concesión suscritos por las Partes. Expresando la Sala Primera de la Corte Suprema de Justicia en lo de interés:</w:t>
      </w:r>
    </w:p>
    <w:p w:rsidR="00592D71" w:rsidRDefault="00592D71" w:rsidP="00592D71">
      <w:pPr>
        <w:kinsoku w:val="0"/>
        <w:overflowPunct w:val="0"/>
        <w:autoSpaceDE/>
        <w:autoSpaceDN/>
        <w:adjustRightInd/>
        <w:spacing w:before="457" w:after="492" w:line="298" w:lineRule="exact"/>
        <w:ind w:left="576" w:right="648" w:firstLine="216"/>
        <w:jc w:val="both"/>
        <w:textAlignment w:val="baseline"/>
        <w:rPr>
          <w:spacing w:val="1"/>
          <w:sz w:val="26"/>
          <w:szCs w:val="26"/>
          <w:lang w:val="es-ES" w:eastAsia="es-ES"/>
        </w:rPr>
      </w:pPr>
      <w:r>
        <w:rPr>
          <w:spacing w:val="1"/>
          <w:sz w:val="26"/>
          <w:szCs w:val="26"/>
          <w:lang w:val="es-ES" w:eastAsia="es-ES"/>
        </w:rPr>
        <w:t xml:space="preserve">V.- Como tercer reparo hace alusión al quebranto de las normas 129, 158, 166, 220 y 223 de la LGAP; 1251, 1253 del Código Civil, al acusar a su representada de haber transmitido la concesión, solo por haber otorgado un poder generalísimo, lo cual, afirma, permite la legislación civil y administrativa. Resalta que la concesión solo podía transmitirse mediante un poder especialísimo. Esta Sala considera importante aclarar que el contrato de mandato es un instituto permitido por la legislación nacional; lo cual admitió expresamente el Tribunal cuando señaló: </w:t>
      </w:r>
      <w:r>
        <w:rPr>
          <w:i/>
          <w:iCs/>
          <w:spacing w:val="1"/>
          <w:sz w:val="26"/>
          <w:szCs w:val="26"/>
          <w:lang w:val="es-ES" w:eastAsia="es-ES"/>
        </w:rPr>
        <w:t xml:space="preserve">"Este cuerpo colegiado coincide con el apoderado especial judicial de la accionante en el sentido que nuestro ordenamiento jurídico no prohíbe, en general, el otorgamiento de poderes generalísimos." </w:t>
      </w:r>
      <w:r>
        <w:rPr>
          <w:spacing w:val="1"/>
          <w:sz w:val="26"/>
          <w:szCs w:val="26"/>
          <w:lang w:val="es-ES" w:eastAsia="es-ES"/>
        </w:rPr>
        <w:t xml:space="preserve">(folio 153). </w:t>
      </w:r>
      <w:r>
        <w:rPr>
          <w:b/>
          <w:bCs/>
          <w:spacing w:val="1"/>
          <w:sz w:val="26"/>
          <w:szCs w:val="26"/>
          <w:lang w:val="es-ES" w:eastAsia="es-ES"/>
        </w:rPr>
        <w:t xml:space="preserve">Ahora bien, el inconveniente que se da con el poder generalísimo sin límite de suma otorgado por la señora J a G, surge porque a través de él confiere amplias facultades a la mandataria (artículos 1253-1254 del Código Civil) para todo lo relacionado con la concesión de la placa [...], sin tomar en cuenta el carácter personalísimo de aquella, es decir, dejó de lado que sus condiciones personales fueron determinantes para su elección como concesionaria, por lo que estaba imposibilitada de traspasar a otro la posibilidad de disponer ampliamente de la concesión como lo hizo. </w:t>
      </w:r>
      <w:r>
        <w:rPr>
          <w:spacing w:val="1"/>
          <w:sz w:val="26"/>
          <w:szCs w:val="26"/>
          <w:lang w:val="es-ES" w:eastAsia="es-ES"/>
        </w:rPr>
        <w:t>Si la actora deseaba realizar alguna modificación debió solicitar autorización previa al CTP, lo cual no hizo y actuó sin acatar las reglas aplicables en esos casos. Además, el Tribunal apreció otras circunstancias para reafirmar la transmisión sin autorización de la concesión, las cuales no desvirtúa el recurrente, como lo son que la actora incumplió con el requisito de la conducción personal del vehículo,</w:t>
      </w:r>
    </w:p>
    <w:p w:rsidR="00592D71" w:rsidRDefault="00592D71" w:rsidP="00592D71">
      <w:pPr>
        <w:widowControl/>
        <w:rPr>
          <w:sz w:val="24"/>
          <w:szCs w:val="24"/>
        </w:rPr>
        <w:sectPr w:rsidR="00592D71">
          <w:pgSz w:w="12293" w:h="15744"/>
          <w:pgMar w:top="1620" w:right="1671" w:bottom="348" w:left="1622" w:header="720" w:footer="720" w:gutter="0"/>
          <w:cols w:space="720"/>
          <w:noEndnote/>
        </w:sectPr>
      </w:pPr>
    </w:p>
    <w:p w:rsidR="00592D71" w:rsidRDefault="00592D71" w:rsidP="00592D71">
      <w:pPr>
        <w:widowControl/>
        <w:rPr>
          <w:sz w:val="24"/>
          <w:szCs w:val="24"/>
        </w:rPr>
        <w:sectPr w:rsidR="00592D71">
          <w:type w:val="continuous"/>
          <w:pgSz w:w="12293" w:h="15744"/>
          <w:pgMar w:top="1620" w:right="1968" w:bottom="348" w:left="7503" w:header="720" w:footer="720" w:gutter="0"/>
          <w:cols w:space="720"/>
          <w:noEndnote/>
        </w:sectPr>
      </w:pPr>
    </w:p>
    <w:p w:rsidR="00592D71" w:rsidRDefault="00592D71" w:rsidP="00592D71">
      <w:pPr>
        <w:kinsoku w:val="0"/>
        <w:overflowPunct w:val="0"/>
        <w:autoSpaceDE/>
        <w:autoSpaceDN/>
        <w:adjustRightInd/>
        <w:spacing w:line="297" w:lineRule="exact"/>
        <w:jc w:val="both"/>
        <w:textAlignment w:val="baseline"/>
        <w:rPr>
          <w:b/>
          <w:bCs/>
          <w:spacing w:val="3"/>
          <w:sz w:val="26"/>
          <w:szCs w:val="26"/>
          <w:lang w:val="es-ES" w:eastAsia="es-ES"/>
        </w:rPr>
      </w:pPr>
      <w:r>
        <w:rPr>
          <w:spacing w:val="3"/>
          <w:sz w:val="26"/>
          <w:szCs w:val="26"/>
          <w:lang w:val="es-ES" w:eastAsia="es-ES"/>
        </w:rPr>
        <w:lastRenderedPageBreak/>
        <w:t xml:space="preserve">sin tener una exención para ello; que quien lo conducía era el esposo de la persona a quien le otorgó el poder de comentario y que cuando solicitó el traspaso lo hizo a favor del chofer. Ante tales circunstancias y al disponer la Ley No. 7969 que: </w:t>
      </w:r>
      <w:r>
        <w:rPr>
          <w:i/>
          <w:iCs/>
          <w:spacing w:val="3"/>
          <w:sz w:val="26"/>
          <w:szCs w:val="26"/>
          <w:lang w:val="es-ES" w:eastAsia="es-ES"/>
        </w:rPr>
        <w:t xml:space="preserve">"El Consejo podrá cancelar la concesión administrativamente, de conformidad con las siguientes causales: [...] </w:t>
      </w:r>
      <w:r>
        <w:rPr>
          <w:spacing w:val="3"/>
          <w:sz w:val="26"/>
          <w:szCs w:val="26"/>
          <w:lang w:val="es-ES" w:eastAsia="es-ES"/>
        </w:rPr>
        <w:t xml:space="preserve">c) </w:t>
      </w:r>
      <w:r>
        <w:rPr>
          <w:i/>
          <w:iCs/>
          <w:spacing w:val="3"/>
          <w:sz w:val="26"/>
          <w:szCs w:val="26"/>
          <w:lang w:val="es-ES" w:eastAsia="es-ES"/>
        </w:rPr>
        <w:t xml:space="preserve">Ceder la concesión a favor de un tercero, sin autorización del Consejo..." </w:t>
      </w:r>
      <w:r>
        <w:rPr>
          <w:spacing w:val="3"/>
          <w:sz w:val="26"/>
          <w:szCs w:val="26"/>
          <w:lang w:val="es-ES" w:eastAsia="es-ES"/>
        </w:rPr>
        <w:t xml:space="preserve">Es evidente que la Administración no incurrió en vicio alguno al imponer la consecuencia apuntada en la normativa de comentario. Acerca del argumento que no se dio la cesión acusada, porque debió hacerse mediante un poder especialísimo, ello no es de recibo, ambos tipos de mandato resultan incompatibles con la concesión administrativa objeto de análisis, ya que su cesión debe ser autorizada previamente por el CTP, condición que aquí no se cumplió. Al no apreciarse el vicio reclamado, el cargo deberá rechazarse."... </w:t>
      </w:r>
      <w:r>
        <w:rPr>
          <w:b/>
          <w:bCs/>
          <w:spacing w:val="3"/>
          <w:sz w:val="26"/>
          <w:szCs w:val="26"/>
          <w:lang w:val="es-ES" w:eastAsia="es-ES"/>
        </w:rPr>
        <w:t>(Sentencia No. 2012-01525 de la Sala Primera de la Corte Suprema de Justicia, del 20 de Noviembre del 2012)</w:t>
      </w:r>
    </w:p>
    <w:p w:rsidR="00592D71" w:rsidRDefault="00592D71" w:rsidP="00592D71">
      <w:pPr>
        <w:kinsoku w:val="0"/>
        <w:overflowPunct w:val="0"/>
        <w:autoSpaceDE/>
        <w:autoSpaceDN/>
        <w:adjustRightInd/>
        <w:spacing w:before="823" w:after="353" w:line="299" w:lineRule="exact"/>
        <w:jc w:val="both"/>
        <w:textAlignment w:val="baseline"/>
        <w:rPr>
          <w:i/>
          <w:iCs/>
          <w:spacing w:val="1"/>
          <w:sz w:val="26"/>
          <w:szCs w:val="26"/>
          <w:lang w:val="es-ES" w:eastAsia="es-ES"/>
        </w:rPr>
      </w:pPr>
      <w:r>
        <w:rPr>
          <w:spacing w:val="1"/>
          <w:sz w:val="26"/>
          <w:szCs w:val="26"/>
          <w:lang w:val="es-ES" w:eastAsia="es-ES"/>
        </w:rPr>
        <w:t xml:space="preserve">"V. Por estar íntimamente ligados, el primer alegato y el tercero serán analizados en conjunto. Señala el casacionista, que el Tribunal se equivoca al admitir la tesis de la Administración sobre las implicaciones que representa el poder generalísimo sin límite de suma otorgado a doña J.; pues lo percibió como una cesión al derecho de concesión y que esto además conlleva un vicio en el acto por falta de motivo y por ende del contenido. En primer lugar, ha de señalarse que dentro del acuerdo firmado por la Administración y don L., entre otras obligaciones se estableció: </w:t>
      </w:r>
      <w:r>
        <w:rPr>
          <w:i/>
          <w:iCs/>
          <w:spacing w:val="1"/>
          <w:sz w:val="26"/>
          <w:szCs w:val="26"/>
          <w:lang w:val="es-ES" w:eastAsia="es-ES"/>
        </w:rPr>
        <w:t xml:space="preserve">"ARTÍCULO </w:t>
      </w:r>
      <w:r>
        <w:rPr>
          <w:b/>
          <w:bCs/>
          <w:i/>
          <w:iCs/>
          <w:spacing w:val="1"/>
          <w:sz w:val="26"/>
          <w:szCs w:val="26"/>
          <w:lang w:val="es-ES" w:eastAsia="es-ES"/>
        </w:rPr>
        <w:t xml:space="preserve">V: DE LAS OBLIGACIONES DEL CONCESIONARIO (A)/ </w:t>
      </w:r>
      <w:r>
        <w:rPr>
          <w:i/>
          <w:iCs/>
          <w:spacing w:val="1"/>
          <w:sz w:val="26"/>
          <w:szCs w:val="26"/>
          <w:lang w:val="es-ES" w:eastAsia="es-ES"/>
        </w:rPr>
        <w:t xml:space="preserve">Sin perjuicio de las obligaciones contenidas en la normativa aplicable </w:t>
      </w:r>
      <w:r>
        <w:rPr>
          <w:b/>
          <w:bCs/>
          <w:i/>
          <w:iCs/>
          <w:spacing w:val="1"/>
          <w:sz w:val="26"/>
          <w:szCs w:val="26"/>
          <w:lang w:val="es-ES" w:eastAsia="es-ES"/>
        </w:rPr>
        <w:t xml:space="preserve">EL CONCESIONARIO (A)deberá </w:t>
      </w:r>
      <w:r>
        <w:rPr>
          <w:i/>
          <w:iCs/>
          <w:spacing w:val="1"/>
          <w:sz w:val="26"/>
          <w:szCs w:val="26"/>
          <w:lang w:val="es-ES" w:eastAsia="es-ES"/>
        </w:rPr>
        <w:t xml:space="preserve">cumplir durante la vigencia de la concesión con las siguientes obligaciones: a) Prestar el servicio bajo los principios del servicio público, para asegurar su continuidad, eficiencia y adaptación a todo cambio en el régimen legal o en la necesidad social que satisfacen, seguridad y uniformidad en igualdad de condiciones. [...] g) A conducir personalmente, al menos una jornada de ocho horas diarias, el vehículo amparado a esta </w:t>
      </w:r>
      <w:r>
        <w:rPr>
          <w:spacing w:val="1"/>
          <w:sz w:val="26"/>
          <w:szCs w:val="26"/>
          <w:lang w:val="es-ES" w:eastAsia="es-ES"/>
        </w:rPr>
        <w:t xml:space="preserve">concesión". Asimismo, en el artículo XI se dispuso: </w:t>
      </w:r>
      <w:r>
        <w:rPr>
          <w:i/>
          <w:iCs/>
          <w:spacing w:val="1"/>
          <w:sz w:val="26"/>
          <w:szCs w:val="26"/>
          <w:lang w:val="es-ES" w:eastAsia="es-ES"/>
        </w:rPr>
        <w:t>"La concesión podrá ser caducada por parte del concedente, previo procedimiento administrativo: a) Por incumplimientos comprobados de las obligaciones y condiciones establecidas en la normativa vigente, los términos y compromisos asumidos</w:t>
      </w:r>
    </w:p>
    <w:p w:rsidR="00592D71" w:rsidRDefault="00592D71" w:rsidP="00592D71">
      <w:pPr>
        <w:widowControl/>
        <w:rPr>
          <w:sz w:val="24"/>
          <w:szCs w:val="24"/>
        </w:rPr>
        <w:sectPr w:rsidR="00592D71">
          <w:pgSz w:w="12302" w:h="15706"/>
          <w:pgMar w:top="1600" w:right="2325" w:bottom="173" w:left="2237" w:header="720" w:footer="720" w:gutter="0"/>
          <w:cols w:space="720"/>
          <w:noEndnote/>
        </w:sectPr>
      </w:pPr>
    </w:p>
    <w:p w:rsidR="00592D71" w:rsidRDefault="00592D71" w:rsidP="00592D71">
      <w:pPr>
        <w:widowControl/>
        <w:rPr>
          <w:sz w:val="24"/>
          <w:szCs w:val="24"/>
        </w:rPr>
        <w:sectPr w:rsidR="00592D71">
          <w:type w:val="continuous"/>
          <w:pgSz w:w="12302" w:h="15706"/>
          <w:pgMar w:top="1600" w:right="1501" w:bottom="173" w:left="7901" w:header="720" w:footer="720" w:gutter="0"/>
          <w:cols w:space="720"/>
          <w:noEndnote/>
        </w:sectPr>
      </w:pPr>
    </w:p>
    <w:p w:rsidR="00592D71" w:rsidRDefault="00592D71" w:rsidP="00592D71">
      <w:pPr>
        <w:kinsoku w:val="0"/>
        <w:overflowPunct w:val="0"/>
        <w:autoSpaceDE/>
        <w:autoSpaceDN/>
        <w:adjustRightInd/>
        <w:spacing w:before="39" w:line="297" w:lineRule="exact"/>
        <w:ind w:firstLine="72"/>
        <w:jc w:val="both"/>
        <w:textAlignment w:val="baseline"/>
        <w:rPr>
          <w:i/>
          <w:iCs/>
          <w:spacing w:val="1"/>
          <w:sz w:val="26"/>
          <w:szCs w:val="26"/>
          <w:lang w:val="es-ES" w:eastAsia="es-ES"/>
        </w:rPr>
      </w:pPr>
      <w:r>
        <w:rPr>
          <w:noProof/>
          <w:lang w:val="es-CR"/>
        </w:rPr>
        <w:lastRenderedPageBreak/>
        <mc:AlternateContent>
          <mc:Choice Requires="wps">
            <w:drawing>
              <wp:anchor distT="0" distB="0" distL="0" distR="0" simplePos="0" relativeHeight="251664384" behindDoc="0" locked="0" layoutInCell="0" allowOverlap="1">
                <wp:simplePos x="0" y="0"/>
                <wp:positionH relativeFrom="column">
                  <wp:posOffset>3596640</wp:posOffset>
                </wp:positionH>
                <wp:positionV relativeFrom="paragraph">
                  <wp:posOffset>8074025</wp:posOffset>
                </wp:positionV>
                <wp:extent cx="1953895" cy="466725"/>
                <wp:effectExtent l="7620" t="6350" r="635" b="3175"/>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66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71" w:rsidRDefault="00592D71" w:rsidP="00592D71">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2" o:spid="_x0000_s1029" type="#_x0000_t202" style="position:absolute;left:0;text-align:left;margin-left:283.2pt;margin-top:635.75pt;width:153.85pt;height:36.7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" o:allowincell="f" stroked="f">
                <v:fill opacity="0"/>
                <v:textbox inset="0,0,0,0">
                  <w:txbxContent>
                    <w:p w:rsidR="00592D71" w:rsidRDefault="00592D71" w:rsidP="00592D71">
                      <w:pPr>
                        <w:kinsoku w:val="0"/>
                        <w:overflowPunct w:val="0"/>
                        <w:autoSpaceDE/>
                        <w:autoSpaceDN/>
                        <w:adjustRightInd/>
                        <w:textAlignment w:val="baseline"/>
                        <w:rPr>
                          <w:sz w:val="24"/>
                          <w:szCs w:val="24"/>
                        </w:rPr>
                      </w:pPr>
                    </w:p>
                  </w:txbxContent>
                </v:textbox>
                <w10:wrap type="square"/>
              </v:shape>
            </w:pict>
          </mc:Fallback>
        </mc:AlternateContent>
      </w:r>
      <w:r>
        <w:rPr>
          <w:i/>
          <w:iCs/>
          <w:spacing w:val="1"/>
          <w:sz w:val="26"/>
          <w:szCs w:val="26"/>
          <w:lang w:val="es-ES" w:eastAsia="es-ES"/>
        </w:rPr>
        <w:t xml:space="preserve">contractualmente y el acuerdo de adjudicación de la concesión [...] d) Ceder, transferir de algún modo o alquilar la concesión sin contar con la autorización del consejo (sic) de Transporte Pública[...]j) La no prestación personal del servicio (mínimo 8 horas) sin tener para ello la autorización del Consejo de Transporte Público." . </w:t>
      </w:r>
      <w:r>
        <w:rPr>
          <w:spacing w:val="1"/>
          <w:sz w:val="26"/>
          <w:szCs w:val="26"/>
          <w:lang w:val="es-ES" w:eastAsia="es-ES"/>
        </w:rPr>
        <w:t xml:space="preserve">Ahora bien, relativo al tema del mandato, resulta importante aclarar que este contrato se encuentra regulado por el ordenamiento jurídico en el Código Civil, a partir del artículo 1251 y hasta el 1294. En el caso bajo estudio, lo que se convino, es que la mandataria pudiera vender, hipotecar y de cualquier otro modo enajenar o gravar toda clase de bienes, gestionar judicialmente, celebrar toda clase de contratos y ejecutar todos los demás actos jurídicos que podría hacer el poderdante, excepto los que conforme a la ley deben </w:t>
      </w:r>
      <w:proofErr w:type="spellStart"/>
      <w:r>
        <w:rPr>
          <w:spacing w:val="1"/>
          <w:sz w:val="26"/>
          <w:szCs w:val="26"/>
          <w:lang w:val="es-ES" w:eastAsia="es-ES"/>
        </w:rPr>
        <w:t>se</w:t>
      </w:r>
      <w:proofErr w:type="spellEnd"/>
      <w:r>
        <w:rPr>
          <w:spacing w:val="1"/>
          <w:sz w:val="26"/>
          <w:szCs w:val="26"/>
          <w:lang w:val="es-ES" w:eastAsia="es-ES"/>
        </w:rPr>
        <w:t xml:space="preserve"> ejecutados por el mismo dueño en persona y los actos para los cuales la ley exige expresamente poder especialísimo; lo anterior al amparo del artículo 1253 ídem. Además, el canon 1254 ibídem, impone: </w:t>
      </w:r>
      <w:r>
        <w:rPr>
          <w:i/>
          <w:iCs/>
          <w:spacing w:val="1"/>
          <w:sz w:val="26"/>
          <w:szCs w:val="26"/>
          <w:lang w:val="es-ES" w:eastAsia="es-ES"/>
        </w:rPr>
        <w:t xml:space="preserve">"Si el poder generalísimo fuere solo para alguno o algunos negocios, el mandatario tendrá respecto del negocio o negocios a que su poder se refiere y de los bienes que ellos comprendan, las mismas facultades que según el artículo anterior, tiene el apoderado generalísimo para todos los negocios de una persona." . </w:t>
      </w:r>
      <w:r>
        <w:rPr>
          <w:spacing w:val="1"/>
          <w:sz w:val="26"/>
          <w:szCs w:val="26"/>
          <w:lang w:val="es-ES" w:eastAsia="es-ES"/>
        </w:rPr>
        <w:t xml:space="preserve">En el poder otorgado por el actor a la señora J., claramente se estipula: </w:t>
      </w:r>
      <w:r>
        <w:rPr>
          <w:i/>
          <w:iCs/>
          <w:spacing w:val="1"/>
          <w:sz w:val="26"/>
          <w:szCs w:val="26"/>
          <w:lang w:val="es-ES" w:eastAsia="es-ES"/>
        </w:rPr>
        <w:t xml:space="preserve">"confiriéndole al efecto las facultades que determina el artículo mil doscientos cincuenta y cuatro del código civil, y además las de sustituir este poder en todo o en parte, revocar sustituciones y hacer otras de nuevo. Este poder se otorga específicamente con todo lo relacionado con la concesión que opera con la placa </w:t>
      </w:r>
      <w:r>
        <w:rPr>
          <w:spacing w:val="1"/>
          <w:sz w:val="26"/>
          <w:szCs w:val="26"/>
          <w:lang w:val="es-ES" w:eastAsia="es-ES"/>
        </w:rPr>
        <w:t xml:space="preserve">[...]". En virtud de lo anterior, el problema en este caso se presenta porque dicho poder generalísimo sin límite de suma, es otorgado por don L. y confiere amplias facultades a la mandataria, relativo a todo aquello que tenga que ver con la administración del taxi placas [...]; pero lo hace sin advertir que la concesión se le otorgó, condicionada a cumplir con ciertas exigencias; además de ello, de que tiene un carácter personalísimo, pues el derecho es concedido, tomando en cuenta las características especiales y propias que él reviste. Coincide esta Sala con lo dispuesto por el Tribunal cuando razona: </w:t>
      </w:r>
      <w:r>
        <w:rPr>
          <w:i/>
          <w:iCs/>
          <w:spacing w:val="1"/>
          <w:sz w:val="26"/>
          <w:szCs w:val="26"/>
          <w:lang w:val="es-ES" w:eastAsia="es-ES"/>
        </w:rPr>
        <w:t>"es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personal, como lo es la concesión en este tipo de servicio [...] resultaba improcedente el otorgamiento de un poder</w:t>
      </w:r>
    </w:p>
    <w:p w:rsidR="00592D71" w:rsidRDefault="00592D71" w:rsidP="00592D71">
      <w:pPr>
        <w:widowControl/>
        <w:rPr>
          <w:sz w:val="24"/>
          <w:szCs w:val="24"/>
        </w:rPr>
        <w:sectPr w:rsidR="00592D71">
          <w:pgSz w:w="12312" w:h="15706"/>
          <w:pgMar w:top="1560" w:right="2324" w:bottom="1035" w:left="2208" w:header="720" w:footer="720" w:gutter="0"/>
          <w:cols w:space="720"/>
          <w:noEndnote/>
        </w:sectPr>
      </w:pPr>
    </w:p>
    <w:p w:rsidR="00592D71" w:rsidRDefault="00592D71" w:rsidP="00592D71">
      <w:pPr>
        <w:kinsoku w:val="0"/>
        <w:overflowPunct w:val="0"/>
        <w:autoSpaceDE/>
        <w:autoSpaceDN/>
        <w:adjustRightInd/>
        <w:spacing w:before="24" w:after="682" w:line="297" w:lineRule="exact"/>
        <w:ind w:right="720"/>
        <w:jc w:val="both"/>
        <w:textAlignment w:val="baseline"/>
        <w:rPr>
          <w:sz w:val="26"/>
          <w:szCs w:val="26"/>
          <w:lang w:val="es-ES" w:eastAsia="es-ES"/>
        </w:rPr>
      </w:pPr>
      <w:r>
        <w:rPr>
          <w:i/>
          <w:iCs/>
          <w:sz w:val="26"/>
          <w:szCs w:val="26"/>
          <w:lang w:val="es-ES" w:eastAsia="es-ES"/>
        </w:rPr>
        <w:lastRenderedPageBreak/>
        <w:t xml:space="preserve">generalísimo en los términos en que lo concedió la </w:t>
      </w:r>
      <w:r>
        <w:rPr>
          <w:sz w:val="26"/>
          <w:szCs w:val="26"/>
          <w:lang w:val="es-ES" w:eastAsia="es-ES"/>
        </w:rPr>
        <w:t xml:space="preserve">(sic) </w:t>
      </w:r>
      <w:r>
        <w:rPr>
          <w:i/>
          <w:iCs/>
          <w:sz w:val="26"/>
          <w:szCs w:val="26"/>
          <w:lang w:val="es-ES" w:eastAsia="es-ES"/>
        </w:rPr>
        <w:t xml:space="preserve">accionante, toda vez que la administración y explotación de la concesión de la placa de taxi f.] debía ejercerla en forma personal el demandante, tal y como lo exige la legislación vigente y el propio contrato de concesión." . </w:t>
      </w:r>
      <w:r>
        <w:rPr>
          <w:sz w:val="26"/>
          <w:szCs w:val="26"/>
          <w:lang w:val="es-ES" w:eastAsia="es-ES"/>
        </w:rPr>
        <w:t xml:space="preserve">De lo anterior, se colige que efectivamente el actor estaba imposibilitado de traspasar a otra persona el derecho de disponer ampliamente sobre la concesión a él otorgada, tal y como lo hizo. Según se desprende de las estipulaciones contractuales, debió haber solicitado al CTP la autorización correspondiente para realizar el traspaso, lo que como se dijo, no llevó a cabo. Nótese que cuando llevó a cabo dicha solicitud, fue justamente cuando la Administración inició un 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 L. a los acuerdos asumidos con la Administración; lo que en efecto da paso a la cancelación de su derecho. Esto es, justamente, el motivo del acto emitido por la Junta Directiva del CTP en su artículo 3.2.7 de la sesión ordinaria 13-2009 del 24 de febrero de 2009, del cual aquí se pretende su nulidad y que según lo expuesto, no es posible determinar la existencia de ningún vicio. Todo lo anterior, encuentra amparo en el artículo 40 de la Ley número 7969, el cual establece: </w:t>
      </w:r>
      <w:r>
        <w:rPr>
          <w:i/>
          <w:iCs/>
          <w:sz w:val="26"/>
          <w:szCs w:val="26"/>
          <w:lang w:val="es-ES" w:eastAsia="es-ES"/>
        </w:rPr>
        <w:t xml:space="preserve">"El Consejo podrá cancelar la concesión administrativamente, de conformidad con las siguientes causales: [...] </w:t>
      </w:r>
      <w:r>
        <w:rPr>
          <w:sz w:val="26"/>
          <w:szCs w:val="26"/>
          <w:lang w:val="es-ES" w:eastAsia="es-ES"/>
        </w:rPr>
        <w:t xml:space="preserve">c) </w:t>
      </w:r>
      <w:r>
        <w:rPr>
          <w:i/>
          <w:iCs/>
          <w:sz w:val="26"/>
          <w:szCs w:val="26"/>
          <w:lang w:val="es-ES" w:eastAsia="es-ES"/>
        </w:rPr>
        <w:t xml:space="preserve">Ceder la concesión a favor de un tercero, sin autorización del Consejo...". </w:t>
      </w:r>
      <w:r>
        <w:rPr>
          <w:sz w:val="26"/>
          <w:szCs w:val="26"/>
          <w:lang w:val="es-ES" w:eastAsia="es-ES"/>
        </w:rPr>
        <w:t>Con ello, se reafirma aún más las tesis que en esta resolución se viene exponiendo, sobre la falta en la que incurrió el señor L. y con ello la legitimidad del contenido del acto por el que la Administración cancela la concesión al actor. También es necesario mencionar, que del recurso pareciera entenderse que el recurrente alega una violación probatoria, pues aduce el Tribunal no tuvo por acreditada su condición de salud. En este sentido, ha de indicarse que el reproche no es claro ni preciso, ni menciona violación normativa de fondo al respecto (artículo 139 inciso 4 del Código Procesal Contencioso Administrativo), todo lo cual dice de su informalidad, razón por la cual no es de recibo. Por último, ha de aclararse que dada la particularidad de este tipo de casos, un poder especialísimo tampoco sería compatible con la figura de la concesión administrativa objeto de análisis, pues es indispensable la autorización del CTP en este tipo de concesiones, lo cual no se dio. Al</w:t>
      </w:r>
    </w:p>
    <w:tbl>
      <w:tblPr>
        <w:tblW w:w="0" w:type="auto"/>
        <w:tblLayout w:type="fixed"/>
        <w:tblCellMar>
          <w:left w:w="0" w:type="dxa"/>
          <w:right w:w="0" w:type="dxa"/>
        </w:tblCellMar>
        <w:tblLook w:val="0000" w:firstRow="0" w:lastRow="0" w:firstColumn="0" w:lastColumn="0" w:noHBand="0" w:noVBand="0"/>
      </w:tblPr>
      <w:tblGrid>
        <w:gridCol w:w="7862"/>
        <w:gridCol w:w="618"/>
      </w:tblGrid>
      <w:tr w:rsidR="00592D71" w:rsidTr="00FB29B9">
        <w:trPr>
          <w:trHeight w:hRule="exact" w:val="728"/>
        </w:trPr>
        <w:tc>
          <w:tcPr>
            <w:tcW w:w="7862" w:type="dxa"/>
            <w:tcBorders>
              <w:top w:val="nil"/>
              <w:left w:val="nil"/>
              <w:bottom w:val="nil"/>
              <w:right w:val="nil"/>
            </w:tcBorders>
          </w:tcPr>
          <w:p w:rsidR="00592D71" w:rsidRDefault="00592D71" w:rsidP="00FB29B9">
            <w:pPr>
              <w:kinsoku w:val="0"/>
              <w:overflowPunct w:val="0"/>
              <w:autoSpaceDE/>
              <w:autoSpaceDN/>
              <w:adjustRightInd/>
              <w:spacing w:after="496" w:line="215" w:lineRule="exact"/>
              <w:ind w:right="408"/>
              <w:jc w:val="right"/>
              <w:textAlignment w:val="baseline"/>
              <w:rPr>
                <w:i/>
                <w:iCs/>
                <w:lang w:val="es-ES" w:eastAsia="es-ES"/>
              </w:rPr>
            </w:pPr>
          </w:p>
        </w:tc>
        <w:tc>
          <w:tcPr>
            <w:tcW w:w="618" w:type="dxa"/>
            <w:tcBorders>
              <w:top w:val="nil"/>
              <w:left w:val="nil"/>
              <w:bottom w:val="nil"/>
              <w:right w:val="nil"/>
            </w:tcBorders>
          </w:tcPr>
          <w:p w:rsidR="00592D71" w:rsidRDefault="00592D71" w:rsidP="00FB29B9">
            <w:pPr>
              <w:kinsoku w:val="0"/>
              <w:overflowPunct w:val="0"/>
              <w:autoSpaceDE/>
              <w:autoSpaceDN/>
              <w:adjustRightInd/>
              <w:spacing w:before="49" w:after="12"/>
              <w:ind w:right="3"/>
              <w:jc w:val="center"/>
              <w:textAlignment w:val="baseline"/>
              <w:rPr>
                <w:sz w:val="24"/>
                <w:szCs w:val="24"/>
              </w:rPr>
            </w:pPr>
          </w:p>
        </w:tc>
      </w:tr>
    </w:tbl>
    <w:p w:rsidR="00592D71" w:rsidRDefault="00592D71" w:rsidP="00592D71">
      <w:pPr>
        <w:widowControl/>
        <w:rPr>
          <w:sz w:val="24"/>
          <w:szCs w:val="24"/>
        </w:rPr>
        <w:sectPr w:rsidR="00592D71">
          <w:pgSz w:w="12307" w:h="15648"/>
          <w:pgMar w:top="1560" w:right="1590" w:bottom="204" w:left="2237" w:header="720" w:footer="720" w:gutter="0"/>
          <w:cols w:space="720"/>
          <w:noEndnote/>
        </w:sectPr>
      </w:pPr>
    </w:p>
    <w:p w:rsidR="00592D71" w:rsidRDefault="00592D71" w:rsidP="00592D71">
      <w:pPr>
        <w:kinsoku w:val="0"/>
        <w:overflowPunct w:val="0"/>
        <w:autoSpaceDE/>
        <w:autoSpaceDN/>
        <w:adjustRightInd/>
        <w:spacing w:before="2" w:line="298" w:lineRule="exact"/>
        <w:ind w:left="576" w:right="864"/>
        <w:jc w:val="both"/>
        <w:textAlignment w:val="baseline"/>
        <w:rPr>
          <w:b/>
          <w:bCs/>
          <w:sz w:val="26"/>
          <w:szCs w:val="26"/>
          <w:lang w:val="es-ES" w:eastAsia="es-ES"/>
        </w:rPr>
      </w:pPr>
      <w:r>
        <w:rPr>
          <w:sz w:val="26"/>
          <w:szCs w:val="26"/>
          <w:lang w:val="es-ES" w:eastAsia="es-ES"/>
        </w:rPr>
        <w:lastRenderedPageBreak/>
        <w:t xml:space="preserve">respecto, véase la sentencia de esta Cámara a la cual se hace referencia en el considerando anterior. Según lo expuesto, los reparos han de rechazarse." </w:t>
      </w:r>
      <w:r>
        <w:rPr>
          <w:b/>
          <w:bCs/>
          <w:sz w:val="26"/>
          <w:szCs w:val="26"/>
          <w:lang w:val="es-ES" w:eastAsia="es-ES"/>
        </w:rPr>
        <w:t>(Sentencia No. 2012-00270 de la Sala Primera de la Corte Suprema de Justicia, del 01 de Marzo del 2012)</w:t>
      </w:r>
    </w:p>
    <w:p w:rsidR="00592D71" w:rsidRDefault="00592D71" w:rsidP="00592D71">
      <w:pPr>
        <w:kinsoku w:val="0"/>
        <w:overflowPunct w:val="0"/>
        <w:autoSpaceDE/>
        <w:autoSpaceDN/>
        <w:adjustRightInd/>
        <w:spacing w:before="847" w:line="298" w:lineRule="exact"/>
        <w:ind w:right="216"/>
        <w:jc w:val="both"/>
        <w:textAlignment w:val="baseline"/>
        <w:rPr>
          <w:b/>
          <w:bCs/>
          <w:sz w:val="26"/>
          <w:szCs w:val="26"/>
          <w:lang w:val="es-ES" w:eastAsia="es-ES"/>
        </w:rPr>
      </w:pPr>
      <w:r>
        <w:rPr>
          <w:b/>
          <w:bCs/>
          <w:sz w:val="26"/>
          <w:szCs w:val="26"/>
          <w:lang w:val="es-ES" w:eastAsia="es-ES"/>
        </w:rPr>
        <w:t xml:space="preserve">(En confirmación de lo anterior, ver </w:t>
      </w:r>
      <w:r>
        <w:rPr>
          <w:b/>
          <w:bCs/>
          <w:i/>
          <w:iCs/>
          <w:sz w:val="26"/>
          <w:szCs w:val="26"/>
          <w:lang w:val="es-ES" w:eastAsia="es-ES"/>
        </w:rPr>
        <w:t xml:space="preserve">—además- </w:t>
      </w:r>
      <w:r>
        <w:rPr>
          <w:b/>
          <w:bCs/>
          <w:sz w:val="26"/>
          <w:szCs w:val="26"/>
          <w:lang w:val="es-ES" w:eastAsia="es-ES"/>
        </w:rPr>
        <w:t>las Resoluciones Nos. 2012</w:t>
      </w:r>
      <w:r>
        <w:rPr>
          <w:b/>
          <w:bCs/>
          <w:sz w:val="26"/>
          <w:szCs w:val="26"/>
          <w:lang w:val="es-ES" w:eastAsia="es-ES"/>
        </w:rPr>
        <w:softHyphen/>
        <w:t xml:space="preserve">000190 del 16 de Febrero del 2012 </w:t>
      </w:r>
      <w:r>
        <w:rPr>
          <w:sz w:val="26"/>
          <w:szCs w:val="26"/>
          <w:lang w:val="es-ES" w:eastAsia="es-ES"/>
        </w:rPr>
        <w:t xml:space="preserve">y </w:t>
      </w:r>
      <w:r>
        <w:rPr>
          <w:b/>
          <w:bCs/>
          <w:sz w:val="26"/>
          <w:szCs w:val="26"/>
          <w:lang w:val="es-ES" w:eastAsia="es-ES"/>
        </w:rPr>
        <w:t>2012-001525 del 20 de Noviembre del 2012, ambas de la Sala Primera de la Corte Suprema de Justicia)</w:t>
      </w:r>
    </w:p>
    <w:p w:rsidR="00592D71" w:rsidRDefault="00592D71" w:rsidP="00592D71">
      <w:pPr>
        <w:kinsoku w:val="0"/>
        <w:overflowPunct w:val="0"/>
        <w:autoSpaceDE/>
        <w:autoSpaceDN/>
        <w:adjustRightInd/>
        <w:spacing w:before="285" w:line="298" w:lineRule="exact"/>
        <w:ind w:right="216"/>
        <w:jc w:val="both"/>
        <w:textAlignment w:val="baseline"/>
        <w:rPr>
          <w:spacing w:val="1"/>
          <w:sz w:val="26"/>
          <w:szCs w:val="26"/>
          <w:lang w:val="es-ES" w:eastAsia="es-ES"/>
        </w:rPr>
      </w:pPr>
      <w:r>
        <w:rPr>
          <w:spacing w:val="1"/>
          <w:sz w:val="26"/>
          <w:szCs w:val="26"/>
          <w:lang w:val="es-ES" w:eastAsia="es-ES"/>
        </w:rPr>
        <w:t>Y en mérito de lo anterior, dado que en la especie se siguió en el ámbito del Consejo de Transporte Público el Procedimiento Ordinario conducente y se determinó la existencia del Poder Generalísimo sin Límite de Suma otorgado por el Concesionario, en Imperio de lo determinado por la Jurisprudencia reiterada y aplicable de la Sala Primera de la Corte Suprema de Justicia y de los Tribunales de lo Contencioso Administrativo, Opera plenamente la Determinación de Caducidad que realizara el Consejo de Transporte Público mediante su Acuerdo objeto de impugnación. No resultando procedente la Acción Recursiva presentada por el Interesado.</w:t>
      </w:r>
    </w:p>
    <w:p w:rsidR="00592D71" w:rsidRDefault="00592D71" w:rsidP="00592D71">
      <w:pPr>
        <w:kinsoku w:val="0"/>
        <w:overflowPunct w:val="0"/>
        <w:autoSpaceDE/>
        <w:autoSpaceDN/>
        <w:adjustRightInd/>
        <w:spacing w:before="584" w:line="292" w:lineRule="exact"/>
        <w:textAlignment w:val="baseline"/>
        <w:rPr>
          <w:b/>
          <w:bCs/>
          <w:spacing w:val="22"/>
          <w:sz w:val="26"/>
          <w:szCs w:val="26"/>
          <w:lang w:val="es-ES" w:eastAsia="es-ES"/>
        </w:rPr>
      </w:pPr>
      <w:r>
        <w:rPr>
          <w:b/>
          <w:bCs/>
          <w:spacing w:val="22"/>
          <w:sz w:val="26"/>
          <w:szCs w:val="26"/>
          <w:lang w:val="es-ES" w:eastAsia="es-ES"/>
        </w:rPr>
        <w:t>C.- NULIDAD:</w:t>
      </w:r>
    </w:p>
    <w:p w:rsidR="00592D71" w:rsidRDefault="00592D71" w:rsidP="00592D71">
      <w:pPr>
        <w:kinsoku w:val="0"/>
        <w:overflowPunct w:val="0"/>
        <w:autoSpaceDE/>
        <w:autoSpaceDN/>
        <w:adjustRightInd/>
        <w:spacing w:before="176" w:line="298" w:lineRule="exact"/>
        <w:ind w:right="216"/>
        <w:jc w:val="both"/>
        <w:textAlignment w:val="baseline"/>
        <w:rPr>
          <w:sz w:val="26"/>
          <w:szCs w:val="26"/>
          <w:lang w:val="es-ES" w:eastAsia="es-ES"/>
        </w:rPr>
      </w:pPr>
      <w:r>
        <w:rPr>
          <w:sz w:val="26"/>
          <w:szCs w:val="26"/>
          <w:lang w:val="es-ES" w:eastAsia="es-ES"/>
        </w:rPr>
        <w:t>En mérito de todo lo expresado antes y del expediente del Caso en particular, no estima este Tribunal como Procedentes ni el Recurso de Apelación conocido, ni la Acción de Nulidad concomitante al mismo.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Por lo que se determina que No Resultan Procedentes las Acciones que nos han ocupado.</w:t>
      </w:r>
    </w:p>
    <w:p w:rsidR="00592D71" w:rsidRDefault="00592D71" w:rsidP="00592D71">
      <w:pPr>
        <w:kinsoku w:val="0"/>
        <w:overflowPunct w:val="0"/>
        <w:autoSpaceDE/>
        <w:autoSpaceDN/>
        <w:adjustRightInd/>
        <w:spacing w:before="580" w:after="1916" w:line="298" w:lineRule="exact"/>
        <w:ind w:right="216"/>
        <w:jc w:val="both"/>
        <w:textAlignment w:val="baseline"/>
        <w:rPr>
          <w:sz w:val="26"/>
          <w:szCs w:val="26"/>
          <w:lang w:val="es-ES" w:eastAsia="es-ES"/>
        </w:rPr>
      </w:pPr>
      <w:r>
        <w:rPr>
          <w:sz w:val="26"/>
          <w:szCs w:val="26"/>
          <w:lang w:val="es-ES" w:eastAsia="es-ES"/>
        </w:rPr>
        <w:t>Conforme lo expuesto, en lo que al Tema de la Caducidad se Refiere, el Recurso de marras Debe Determinarse como Improcedente. Operando su Rechazo.</w:t>
      </w:r>
    </w:p>
    <w:tbl>
      <w:tblPr>
        <w:tblW w:w="0" w:type="auto"/>
        <w:tblLayout w:type="fixed"/>
        <w:tblCellMar>
          <w:left w:w="0" w:type="dxa"/>
          <w:right w:w="0" w:type="dxa"/>
        </w:tblCellMar>
        <w:tblLook w:val="0000" w:firstRow="0" w:lastRow="0" w:firstColumn="0" w:lastColumn="0" w:noHBand="0" w:noVBand="0"/>
      </w:tblPr>
      <w:tblGrid>
        <w:gridCol w:w="8400"/>
        <w:gridCol w:w="760"/>
      </w:tblGrid>
      <w:tr w:rsidR="00592D71" w:rsidTr="00FB29B9">
        <w:trPr>
          <w:trHeight w:hRule="exact" w:val="678"/>
        </w:trPr>
        <w:tc>
          <w:tcPr>
            <w:tcW w:w="8400" w:type="dxa"/>
            <w:tcBorders>
              <w:top w:val="nil"/>
              <w:left w:val="nil"/>
              <w:bottom w:val="nil"/>
              <w:right w:val="nil"/>
            </w:tcBorders>
          </w:tcPr>
          <w:p w:rsidR="00592D71" w:rsidRDefault="00592D71" w:rsidP="00FB29B9">
            <w:pPr>
              <w:kinsoku w:val="0"/>
              <w:overflowPunct w:val="0"/>
              <w:autoSpaceDE/>
              <w:autoSpaceDN/>
              <w:adjustRightInd/>
              <w:spacing w:before="148" w:after="314" w:line="215" w:lineRule="exact"/>
              <w:ind w:right="375"/>
              <w:jc w:val="right"/>
              <w:textAlignment w:val="baseline"/>
              <w:rPr>
                <w:i/>
                <w:iCs/>
                <w:lang w:val="es-ES" w:eastAsia="es-ES"/>
              </w:rPr>
            </w:pPr>
          </w:p>
        </w:tc>
        <w:tc>
          <w:tcPr>
            <w:tcW w:w="760" w:type="dxa"/>
            <w:tcBorders>
              <w:top w:val="nil"/>
              <w:left w:val="nil"/>
              <w:bottom w:val="nil"/>
              <w:right w:val="nil"/>
            </w:tcBorders>
          </w:tcPr>
          <w:p w:rsidR="00592D71" w:rsidRDefault="00592D71" w:rsidP="00FB29B9">
            <w:pPr>
              <w:kinsoku w:val="0"/>
              <w:overflowPunct w:val="0"/>
              <w:autoSpaceDE/>
              <w:autoSpaceDN/>
              <w:adjustRightInd/>
              <w:spacing w:after="10"/>
              <w:ind w:right="12"/>
              <w:jc w:val="center"/>
              <w:textAlignment w:val="baseline"/>
              <w:rPr>
                <w:sz w:val="24"/>
                <w:szCs w:val="24"/>
              </w:rPr>
            </w:pPr>
          </w:p>
        </w:tc>
      </w:tr>
    </w:tbl>
    <w:p w:rsidR="00592D71" w:rsidRDefault="00592D71" w:rsidP="00592D71">
      <w:pPr>
        <w:widowControl/>
        <w:rPr>
          <w:sz w:val="24"/>
          <w:szCs w:val="24"/>
        </w:rPr>
        <w:sectPr w:rsidR="00592D71">
          <w:pgSz w:w="12302" w:h="15706"/>
          <w:pgMar w:top="1600" w:right="1476" w:bottom="290" w:left="1666" w:header="720" w:footer="720" w:gutter="0"/>
          <w:cols w:space="720"/>
          <w:noEndnote/>
        </w:sectPr>
      </w:pPr>
    </w:p>
    <w:p w:rsidR="00592D71" w:rsidRDefault="00592D71" w:rsidP="00592D71">
      <w:pPr>
        <w:kinsoku w:val="0"/>
        <w:overflowPunct w:val="0"/>
        <w:autoSpaceDE/>
        <w:autoSpaceDN/>
        <w:adjustRightInd/>
        <w:spacing w:before="7" w:after="240" w:line="301" w:lineRule="exact"/>
        <w:jc w:val="center"/>
        <w:textAlignment w:val="baseline"/>
        <w:rPr>
          <w:b/>
          <w:bCs/>
          <w:i/>
          <w:iCs/>
          <w:sz w:val="26"/>
          <w:szCs w:val="26"/>
          <w:lang w:val="es-ES" w:eastAsia="es-ES"/>
        </w:rPr>
      </w:pPr>
      <w:r>
        <w:rPr>
          <w:b/>
          <w:bCs/>
          <w:i/>
          <w:iCs/>
          <w:sz w:val="26"/>
          <w:szCs w:val="26"/>
          <w:lang w:val="es-ES" w:eastAsia="es-ES"/>
        </w:rPr>
        <w:lastRenderedPageBreak/>
        <w:t>Por Tanto</w:t>
      </w:r>
    </w:p>
    <w:p w:rsidR="00592D71" w:rsidRDefault="00592D71" w:rsidP="00592D71">
      <w:pPr>
        <w:numPr>
          <w:ilvl w:val="0"/>
          <w:numId w:val="7"/>
        </w:numPr>
        <w:kinsoku w:val="0"/>
        <w:overflowPunct w:val="0"/>
        <w:autoSpaceDE/>
        <w:autoSpaceDN/>
        <w:adjustRightInd/>
        <w:spacing w:before="24" w:line="300" w:lineRule="exact"/>
        <w:ind w:right="288"/>
        <w:jc w:val="both"/>
        <w:textAlignment w:val="baseline"/>
        <w:rPr>
          <w:sz w:val="26"/>
          <w:szCs w:val="26"/>
          <w:lang w:val="es-ES" w:eastAsia="es-ES"/>
        </w:rPr>
      </w:pPr>
      <w:r>
        <w:rPr>
          <w:sz w:val="26"/>
          <w:szCs w:val="26"/>
          <w:lang w:val="es-ES" w:eastAsia="es-ES"/>
        </w:rPr>
        <w:t xml:space="preserve">Conforme todo lo acotado </w:t>
      </w:r>
      <w:r>
        <w:rPr>
          <w:i/>
          <w:iCs/>
          <w:sz w:val="26"/>
          <w:szCs w:val="26"/>
          <w:lang w:val="es-ES" w:eastAsia="es-ES"/>
        </w:rPr>
        <w:t xml:space="preserve">supra, </w:t>
      </w:r>
      <w:r>
        <w:rPr>
          <w:sz w:val="26"/>
          <w:szCs w:val="26"/>
          <w:lang w:val="es-ES" w:eastAsia="es-ES"/>
        </w:rPr>
        <w:t xml:space="preserve">se Declara </w:t>
      </w:r>
      <w:r>
        <w:rPr>
          <w:b/>
          <w:bCs/>
          <w:sz w:val="26"/>
          <w:szCs w:val="26"/>
          <w:lang w:val="es-ES" w:eastAsia="es-ES"/>
        </w:rPr>
        <w:t xml:space="preserve">SIN LUGAR </w:t>
      </w:r>
      <w:r>
        <w:rPr>
          <w:sz w:val="26"/>
          <w:szCs w:val="26"/>
          <w:lang w:val="es-ES" w:eastAsia="es-ES"/>
        </w:rPr>
        <w:t xml:space="preserve">el Recurso de Apelación en subsidio y la Nulidad Concomitante interpuestos por el señor </w:t>
      </w:r>
      <w:r>
        <w:rPr>
          <w:b/>
          <w:bCs/>
          <w:sz w:val="26"/>
          <w:szCs w:val="26"/>
          <w:lang w:val="es-ES" w:eastAsia="es-ES"/>
        </w:rPr>
        <w:t xml:space="preserve">JCMC, </w:t>
      </w:r>
      <w:r>
        <w:rPr>
          <w:sz w:val="26"/>
          <w:szCs w:val="26"/>
          <w:lang w:val="es-ES" w:eastAsia="es-ES"/>
        </w:rPr>
        <w:t xml:space="preserve">cédula de identidad número </w:t>
      </w:r>
      <w:r w:rsidR="00165941">
        <w:rPr>
          <w:sz w:val="26"/>
          <w:szCs w:val="26"/>
          <w:lang w:val="es-ES" w:eastAsia="es-ES"/>
        </w:rPr>
        <w:t>….</w:t>
      </w:r>
      <w:r>
        <w:rPr>
          <w:sz w:val="26"/>
          <w:szCs w:val="26"/>
          <w:lang w:val="es-ES" w:eastAsia="es-ES"/>
        </w:rPr>
        <w:t>, en su condición de Concesionario del Servicio Público de Transporte Remunerado, en la Modalidad de Taxi, contra el Artículo No. 7.14 de la Sesión Ordinaria No. 50</w:t>
      </w:r>
      <w:r>
        <w:rPr>
          <w:sz w:val="26"/>
          <w:szCs w:val="26"/>
          <w:lang w:val="es-ES" w:eastAsia="es-ES"/>
        </w:rPr>
        <w:softHyphen/>
        <w:t>2015 del 26 de Agosto del 2015, dictado por la Junta Directiva del Consejo de Transporte Público.</w:t>
      </w:r>
    </w:p>
    <w:p w:rsidR="00592D71" w:rsidRDefault="00592D71" w:rsidP="00592D71">
      <w:pPr>
        <w:numPr>
          <w:ilvl w:val="0"/>
          <w:numId w:val="8"/>
        </w:numPr>
        <w:kinsoku w:val="0"/>
        <w:overflowPunct w:val="0"/>
        <w:autoSpaceDE/>
        <w:autoSpaceDN/>
        <w:adjustRightInd/>
        <w:spacing w:before="275" w:line="307" w:lineRule="exact"/>
        <w:ind w:right="288"/>
        <w:jc w:val="both"/>
        <w:textAlignment w:val="baseline"/>
        <w:rPr>
          <w:sz w:val="26"/>
          <w:szCs w:val="26"/>
          <w:lang w:val="es-ES" w:eastAsia="es-ES"/>
        </w:rPr>
      </w:pPr>
      <w:r>
        <w:rPr>
          <w:sz w:val="26"/>
          <w:szCs w:val="26"/>
          <w:lang w:val="es-ES" w:eastAsia="es-ES"/>
        </w:rPr>
        <w:t>Conforme las disposiciones del Artículo No. 16 de la Ley No. 7969 se recuerda que los fallos de este Tribunal son de acatamiento inmediato, estricto y obligatorio.</w:t>
      </w:r>
    </w:p>
    <w:p w:rsidR="00592D71" w:rsidRDefault="00592D71" w:rsidP="00592D71">
      <w:pPr>
        <w:numPr>
          <w:ilvl w:val="0"/>
          <w:numId w:val="8"/>
        </w:numPr>
        <w:kinsoku w:val="0"/>
        <w:overflowPunct w:val="0"/>
        <w:autoSpaceDE/>
        <w:autoSpaceDN/>
        <w:adjustRightInd/>
        <w:spacing w:before="278" w:line="307" w:lineRule="exact"/>
        <w:ind w:right="288"/>
        <w:jc w:val="both"/>
        <w:textAlignment w:val="baseline"/>
        <w:rPr>
          <w:i/>
          <w:iCs/>
          <w:sz w:val="26"/>
          <w:szCs w:val="26"/>
          <w:lang w:val="es-ES" w:eastAsia="es-ES"/>
        </w:rPr>
      </w:pPr>
      <w:r>
        <w:rPr>
          <w:sz w:val="26"/>
          <w:szCs w:val="26"/>
          <w:lang w:val="es-ES" w:eastAsia="es-ES"/>
        </w:rPr>
        <w:t xml:space="preserve">Por carecer la presente resolución de ulterior recurso en sede administrativa, de conformidad con los artículos 16 y 22, inciso c), de la Ley 7969, </w:t>
      </w:r>
      <w:r>
        <w:rPr>
          <w:i/>
          <w:iCs/>
          <w:sz w:val="26"/>
          <w:szCs w:val="26"/>
          <w:lang w:val="es-ES" w:eastAsia="es-ES"/>
        </w:rPr>
        <w:t>se da por agotada la vía administrativa.</w:t>
      </w:r>
    </w:p>
    <w:p w:rsidR="00592D71" w:rsidRDefault="00592D71" w:rsidP="00592D71">
      <w:pPr>
        <w:kinsoku w:val="0"/>
        <w:overflowPunct w:val="0"/>
        <w:autoSpaceDE/>
        <w:autoSpaceDN/>
        <w:adjustRightInd/>
        <w:spacing w:before="306" w:after="264" w:line="288" w:lineRule="exact"/>
        <w:textAlignment w:val="baseline"/>
        <w:rPr>
          <w:b/>
          <w:bCs/>
          <w:sz w:val="26"/>
          <w:szCs w:val="26"/>
          <w:lang w:val="es-ES" w:eastAsia="es-ES"/>
        </w:rPr>
      </w:pPr>
      <w:r>
        <w:rPr>
          <w:b/>
          <w:bCs/>
          <w:sz w:val="26"/>
          <w:szCs w:val="26"/>
          <w:lang w:val="es-ES" w:eastAsia="es-ES"/>
        </w:rPr>
        <w:t>NOTIFÍQUESE</w:t>
      </w:r>
    </w:p>
    <w:p w:rsidR="00165941" w:rsidRDefault="00165941" w:rsidP="00592D71">
      <w:pPr>
        <w:kinsoku w:val="0"/>
        <w:overflowPunct w:val="0"/>
        <w:autoSpaceDE/>
        <w:autoSpaceDN/>
        <w:adjustRightInd/>
        <w:spacing w:before="306" w:after="264" w:line="288" w:lineRule="exact"/>
        <w:textAlignment w:val="baseline"/>
        <w:rPr>
          <w:b/>
          <w:bCs/>
          <w:sz w:val="26"/>
          <w:szCs w:val="26"/>
          <w:lang w:val="es-ES" w:eastAsia="es-ES"/>
        </w:rPr>
      </w:pPr>
    </w:p>
    <w:p w:rsidR="00165941" w:rsidRPr="00626F9C" w:rsidRDefault="00165941" w:rsidP="00165941">
      <w:pPr>
        <w:keepNext/>
        <w:spacing w:before="240" w:after="60" w:line="276" w:lineRule="auto"/>
        <w:ind w:right="-234"/>
        <w:jc w:val="center"/>
        <w:outlineLvl w:val="0"/>
        <w:rPr>
          <w:rFonts w:eastAsia="Times New Roman"/>
          <w:bCs/>
          <w:kern w:val="32"/>
          <w:sz w:val="28"/>
          <w:szCs w:val="28"/>
          <w:lang w:val="pt-BR" w:eastAsia="es-ES"/>
        </w:rPr>
      </w:pPr>
      <w:r w:rsidRPr="00626F9C">
        <w:rPr>
          <w:rFonts w:eastAsia="Times New Roman"/>
          <w:bCs/>
          <w:kern w:val="32"/>
          <w:sz w:val="28"/>
          <w:szCs w:val="28"/>
          <w:lang w:val="pt-BR" w:eastAsia="es-ES"/>
        </w:rPr>
        <w:t xml:space="preserve">Lic. Carlos Miguel </w:t>
      </w:r>
      <w:proofErr w:type="spellStart"/>
      <w:r w:rsidRPr="00626F9C">
        <w:rPr>
          <w:rFonts w:eastAsia="Times New Roman"/>
          <w:bCs/>
          <w:kern w:val="32"/>
          <w:sz w:val="28"/>
          <w:szCs w:val="28"/>
          <w:lang w:val="pt-BR" w:eastAsia="es-ES"/>
        </w:rPr>
        <w:t>Portuguez</w:t>
      </w:r>
      <w:proofErr w:type="spellEnd"/>
      <w:r w:rsidRPr="00626F9C">
        <w:rPr>
          <w:rFonts w:eastAsia="Times New Roman"/>
          <w:bCs/>
          <w:kern w:val="32"/>
          <w:sz w:val="28"/>
          <w:szCs w:val="28"/>
          <w:lang w:val="pt-BR" w:eastAsia="es-ES"/>
        </w:rPr>
        <w:t xml:space="preserve"> </w:t>
      </w:r>
      <w:proofErr w:type="spellStart"/>
      <w:r w:rsidRPr="00626F9C">
        <w:rPr>
          <w:rFonts w:eastAsia="Times New Roman"/>
          <w:bCs/>
          <w:kern w:val="32"/>
          <w:sz w:val="28"/>
          <w:szCs w:val="28"/>
          <w:lang w:val="pt-BR" w:eastAsia="es-ES"/>
        </w:rPr>
        <w:t>Méndez</w:t>
      </w:r>
      <w:proofErr w:type="spellEnd"/>
    </w:p>
    <w:p w:rsidR="00165941" w:rsidRPr="00626F9C" w:rsidRDefault="00165941" w:rsidP="00165941">
      <w:pPr>
        <w:spacing w:line="276" w:lineRule="auto"/>
        <w:ind w:right="-234"/>
        <w:jc w:val="center"/>
        <w:rPr>
          <w:rFonts w:eastAsia="Times New Roman"/>
          <w:b/>
          <w:sz w:val="28"/>
          <w:szCs w:val="28"/>
          <w:lang w:eastAsia="es-ES"/>
        </w:rPr>
      </w:pPr>
      <w:r w:rsidRPr="00626F9C">
        <w:rPr>
          <w:rFonts w:eastAsia="Times New Roman"/>
          <w:b/>
          <w:sz w:val="28"/>
          <w:szCs w:val="28"/>
          <w:lang w:eastAsia="es-ES"/>
        </w:rPr>
        <w:t>PRESIDENTE</w:t>
      </w:r>
    </w:p>
    <w:p w:rsidR="00165941" w:rsidRPr="00626F9C" w:rsidRDefault="00165941" w:rsidP="00165941">
      <w:pPr>
        <w:spacing w:line="276" w:lineRule="auto"/>
        <w:jc w:val="center"/>
        <w:rPr>
          <w:rFonts w:eastAsia="Times New Roman"/>
          <w:sz w:val="28"/>
          <w:szCs w:val="28"/>
          <w:lang w:eastAsia="es-ES"/>
        </w:rPr>
      </w:pPr>
    </w:p>
    <w:p w:rsidR="00165941" w:rsidRPr="00626F9C" w:rsidRDefault="00165941" w:rsidP="00165941">
      <w:pPr>
        <w:spacing w:line="276" w:lineRule="auto"/>
        <w:rPr>
          <w:rFonts w:eastAsia="Times New Roman"/>
          <w:sz w:val="28"/>
          <w:szCs w:val="28"/>
          <w:lang w:eastAsia="es-ES"/>
        </w:rPr>
      </w:pPr>
    </w:p>
    <w:p w:rsidR="00165941" w:rsidRPr="00626F9C" w:rsidRDefault="00165941" w:rsidP="00165941">
      <w:pPr>
        <w:rPr>
          <w:rFonts w:eastAsia="Times New Roman"/>
          <w:sz w:val="24"/>
          <w:szCs w:val="24"/>
          <w:lang w:eastAsia="es-ES"/>
        </w:rPr>
      </w:pPr>
    </w:p>
    <w:p w:rsidR="00165941" w:rsidRPr="00626F9C" w:rsidRDefault="00165941" w:rsidP="00165941">
      <w:pPr>
        <w:keepNext/>
        <w:spacing w:before="240" w:after="60" w:line="276" w:lineRule="auto"/>
        <w:ind w:right="-234"/>
        <w:jc w:val="center"/>
        <w:outlineLvl w:val="0"/>
        <w:rPr>
          <w:rFonts w:eastAsia="Times New Roman"/>
          <w:bCs/>
          <w:kern w:val="32"/>
          <w:sz w:val="28"/>
          <w:szCs w:val="28"/>
          <w:lang w:eastAsia="es-ES"/>
        </w:rPr>
      </w:pPr>
      <w:proofErr w:type="spellStart"/>
      <w:r w:rsidRPr="00626F9C">
        <w:rPr>
          <w:rFonts w:eastAsia="Times New Roman"/>
          <w:bCs/>
          <w:kern w:val="32"/>
          <w:sz w:val="28"/>
          <w:szCs w:val="28"/>
          <w:lang w:eastAsia="es-ES"/>
        </w:rPr>
        <w:t>Lic</w:t>
      </w:r>
      <w:proofErr w:type="spellEnd"/>
      <w:r w:rsidRPr="00626F9C">
        <w:rPr>
          <w:rFonts w:eastAsia="Times New Roman"/>
          <w:bCs/>
          <w:kern w:val="32"/>
          <w:sz w:val="28"/>
          <w:szCs w:val="28"/>
          <w:lang w:eastAsia="es-ES"/>
        </w:rPr>
        <w:t xml:space="preserve">.  Mario Quesada Aguirre                                 </w:t>
      </w:r>
      <w:proofErr w:type="spellStart"/>
      <w:r w:rsidRPr="00626F9C">
        <w:rPr>
          <w:rFonts w:eastAsia="Times New Roman"/>
          <w:bCs/>
          <w:kern w:val="32"/>
          <w:sz w:val="28"/>
          <w:szCs w:val="28"/>
          <w:lang w:eastAsia="es-ES"/>
        </w:rPr>
        <w:t>Licda</w:t>
      </w:r>
      <w:proofErr w:type="spellEnd"/>
      <w:r w:rsidRPr="00626F9C">
        <w:rPr>
          <w:rFonts w:eastAsia="Times New Roman"/>
          <w:bCs/>
          <w:kern w:val="32"/>
          <w:sz w:val="28"/>
          <w:szCs w:val="28"/>
          <w:lang w:eastAsia="es-ES"/>
        </w:rPr>
        <w:t xml:space="preserve">. Marta Luz Pérez </w:t>
      </w:r>
      <w:proofErr w:type="spellStart"/>
      <w:r w:rsidRPr="00626F9C">
        <w:rPr>
          <w:rFonts w:eastAsia="Times New Roman"/>
          <w:bCs/>
          <w:kern w:val="32"/>
          <w:sz w:val="28"/>
          <w:szCs w:val="28"/>
          <w:lang w:eastAsia="es-ES"/>
        </w:rPr>
        <w:t>Peláez</w:t>
      </w:r>
      <w:proofErr w:type="spellEnd"/>
    </w:p>
    <w:p w:rsidR="00165941" w:rsidRPr="00626F9C" w:rsidRDefault="00165941" w:rsidP="00165941">
      <w:pPr>
        <w:spacing w:line="276" w:lineRule="auto"/>
        <w:rPr>
          <w:rFonts w:eastAsia="Times New Roman"/>
          <w:sz w:val="28"/>
          <w:szCs w:val="28"/>
          <w:lang w:eastAsia="es-ES"/>
        </w:rPr>
      </w:pPr>
      <w:r w:rsidRPr="00626F9C">
        <w:rPr>
          <w:rFonts w:eastAsia="Times New Roman"/>
          <w:b/>
          <w:sz w:val="28"/>
          <w:szCs w:val="28"/>
          <w:lang w:eastAsia="es-ES"/>
        </w:rPr>
        <w:t xml:space="preserve">                  JUEZ </w:t>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r>
      <w:r w:rsidRPr="00626F9C">
        <w:rPr>
          <w:rFonts w:eastAsia="Times New Roman"/>
          <w:b/>
          <w:sz w:val="28"/>
          <w:szCs w:val="28"/>
          <w:lang w:eastAsia="es-ES"/>
        </w:rPr>
        <w:tab/>
        <w:t xml:space="preserve">                          JUEZA</w:t>
      </w:r>
    </w:p>
    <w:p w:rsidR="00165941" w:rsidRPr="00626F9C" w:rsidRDefault="00165941" w:rsidP="00165941">
      <w:pPr>
        <w:spacing w:line="276" w:lineRule="auto"/>
        <w:rPr>
          <w:rFonts w:eastAsia="Times New Roman"/>
          <w:sz w:val="28"/>
          <w:szCs w:val="28"/>
          <w:lang w:eastAsia="es-ES"/>
        </w:rPr>
      </w:pPr>
    </w:p>
    <w:p w:rsidR="00165941" w:rsidRPr="00626F9C" w:rsidRDefault="00165941" w:rsidP="00165941">
      <w:pPr>
        <w:spacing w:line="276" w:lineRule="auto"/>
        <w:rPr>
          <w:rFonts w:eastAsia="Times New Roman"/>
          <w:sz w:val="28"/>
          <w:szCs w:val="28"/>
          <w:lang w:eastAsia="es-ES"/>
        </w:rPr>
      </w:pPr>
    </w:p>
    <w:p w:rsidR="00165941" w:rsidRPr="00626F9C" w:rsidRDefault="00165941" w:rsidP="00165941">
      <w:pPr>
        <w:rPr>
          <w:rFonts w:eastAsia="Times New Roman"/>
          <w:lang w:eastAsia="es-ES"/>
        </w:rPr>
      </w:pPr>
    </w:p>
    <w:p w:rsidR="00165941" w:rsidRPr="00626F9C" w:rsidRDefault="00165941" w:rsidP="00165941">
      <w:pPr>
        <w:rPr>
          <w:rFonts w:eastAsia="Times New Roman"/>
          <w:lang w:eastAsia="es-ES"/>
        </w:rPr>
      </w:pPr>
    </w:p>
    <w:p w:rsidR="00165941" w:rsidRPr="00626F9C" w:rsidRDefault="00165941" w:rsidP="00165941">
      <w:pPr>
        <w:rPr>
          <w:rFonts w:eastAsia="Times New Roman"/>
          <w:lang w:eastAsia="es-ES"/>
        </w:rPr>
      </w:pPr>
    </w:p>
    <w:p w:rsidR="00165941" w:rsidRPr="00626F9C" w:rsidRDefault="00165941" w:rsidP="00165941">
      <w:pPr>
        <w:rPr>
          <w:rFonts w:eastAsia="Times New Roman"/>
          <w:lang w:eastAsia="es-ES"/>
        </w:rPr>
      </w:pPr>
    </w:p>
    <w:p w:rsidR="00165941" w:rsidRDefault="00165941"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Default="00C068B8" w:rsidP="00165941">
      <w:pPr>
        <w:rPr>
          <w:rFonts w:eastAsia="Times New Roman"/>
          <w:lang w:eastAsia="es-ES"/>
        </w:rPr>
      </w:pPr>
    </w:p>
    <w:p w:rsidR="00C068B8" w:rsidRPr="00626F9C" w:rsidRDefault="00C068B8" w:rsidP="00165941">
      <w:pPr>
        <w:rPr>
          <w:rFonts w:eastAsia="Times New Roman"/>
          <w:lang w:eastAsia="es-ES"/>
        </w:rPr>
      </w:pPr>
    </w:p>
    <w:p w:rsidR="00165941" w:rsidRPr="00626F9C" w:rsidRDefault="00165941" w:rsidP="00165941">
      <w:pPr>
        <w:rPr>
          <w:rFonts w:eastAsia="Times New Roman"/>
          <w:lang w:eastAsia="es-ES"/>
        </w:rPr>
      </w:pPr>
    </w:p>
    <w:p w:rsidR="00165941" w:rsidRPr="00626F9C" w:rsidRDefault="00165941" w:rsidP="00165941">
      <w:pPr>
        <w:rPr>
          <w:rFonts w:eastAsia="Times New Roman"/>
          <w:lang w:eastAsia="es-ES"/>
        </w:rPr>
      </w:pPr>
    </w:p>
    <w:p w:rsidR="00165941" w:rsidRPr="00626F9C" w:rsidRDefault="00165941" w:rsidP="00165941">
      <w:pPr>
        <w:rPr>
          <w:rFonts w:eastAsia="Times New Roman"/>
          <w:lang w:eastAsia="es-ES"/>
        </w:rPr>
      </w:pPr>
      <w:bookmarkStart w:id="0" w:name="_GoBack"/>
      <w:bookmarkEnd w:id="0"/>
    </w:p>
    <w:p w:rsidR="00165941" w:rsidRDefault="00165941" w:rsidP="00165941"/>
    <w:p w:rsidR="00165941" w:rsidRDefault="00165941" w:rsidP="00592D71">
      <w:pPr>
        <w:kinsoku w:val="0"/>
        <w:overflowPunct w:val="0"/>
        <w:autoSpaceDE/>
        <w:autoSpaceDN/>
        <w:adjustRightInd/>
        <w:spacing w:before="306" w:after="264" w:line="288" w:lineRule="exact"/>
        <w:textAlignment w:val="baseline"/>
        <w:rPr>
          <w:b/>
          <w:bCs/>
          <w:sz w:val="26"/>
          <w:szCs w:val="26"/>
          <w:lang w:val="es-ES" w:eastAsia="es-ES"/>
        </w:rPr>
      </w:pPr>
    </w:p>
    <w:p w:rsidR="00592D71" w:rsidRDefault="00592D71" w:rsidP="00592D71">
      <w:pPr>
        <w:kinsoku w:val="0"/>
        <w:overflowPunct w:val="0"/>
        <w:autoSpaceDE/>
        <w:autoSpaceDN/>
        <w:adjustRightInd/>
        <w:spacing w:before="5776" w:line="288" w:lineRule="exact"/>
        <w:textAlignment w:val="baseline"/>
        <w:rPr>
          <w:sz w:val="24"/>
          <w:szCs w:val="24"/>
        </w:rPr>
      </w:pPr>
      <w:r>
        <w:rPr>
          <w:noProof/>
          <w:lang w:val="es-CR"/>
        </w:rPr>
        <mc:AlternateContent>
          <mc:Choice Requires="wps">
            <w:drawing>
              <wp:anchor distT="0" distB="0" distL="0" distR="0" simplePos="0" relativeHeight="251667456" behindDoc="0" locked="0" layoutInCell="0" allowOverlap="1">
                <wp:simplePos x="0" y="0"/>
                <wp:positionH relativeFrom="column">
                  <wp:posOffset>1609725</wp:posOffset>
                </wp:positionH>
                <wp:positionV relativeFrom="paragraph">
                  <wp:posOffset>0</wp:posOffset>
                </wp:positionV>
                <wp:extent cx="2590800" cy="155575"/>
                <wp:effectExtent l="0" t="4445" r="3175" b="190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71" w:rsidRDefault="00592D71" w:rsidP="00592D71">
                            <w:pPr>
                              <w:tabs>
                                <w:tab w:val="right" w:pos="4104"/>
                              </w:tabs>
                              <w:kinsoku w:val="0"/>
                              <w:overflowPunct w:val="0"/>
                              <w:autoSpaceDE/>
                              <w:autoSpaceDN/>
                              <w:adjustRightInd/>
                              <w:spacing w:line="248" w:lineRule="exact"/>
                              <w:textAlignment w:val="baseline"/>
                              <w:rPr>
                                <w:sz w:val="26"/>
                                <w:szCs w:val="26"/>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30" type="#_x0000_t202" style="position:absolute;margin-left:126.75pt;margin-top:0;width:204pt;height:12.2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" o:allowincell="f" stroked="f">
                <v:textbox inset="0,0,0,0">
                  <w:txbxContent>
                    <w:p w:rsidR="00592D71" w:rsidRDefault="00592D71" w:rsidP="00592D71">
                      <w:pPr>
                        <w:tabs>
                          <w:tab w:val="right" w:pos="4104"/>
                        </w:tabs>
                        <w:kinsoku w:val="0"/>
                        <w:overflowPunct w:val="0"/>
                        <w:autoSpaceDE/>
                        <w:autoSpaceDN/>
                        <w:adjustRightInd/>
                        <w:spacing w:line="248" w:lineRule="exact"/>
                        <w:textAlignment w:val="baseline"/>
                        <w:rPr>
                          <w:sz w:val="26"/>
                          <w:szCs w:val="26"/>
                          <w:lang w:val="es-ES" w:eastAsia="es-ES"/>
                        </w:rPr>
                      </w:pPr>
                    </w:p>
                  </w:txbxContent>
                </v:textbox>
              </v:shape>
            </w:pict>
          </mc:Fallback>
        </mc:AlternateContent>
      </w:r>
      <w:r>
        <w:rPr>
          <w:noProof/>
          <w:lang w:val="es-CR"/>
        </w:rPr>
        <mc:AlternateContent>
          <mc:Choice Requires="wps">
            <w:drawing>
              <wp:anchor distT="0" distB="0" distL="0" distR="0" simplePos="0" relativeHeight="251669504" behindDoc="0" locked="0" layoutInCell="0" allowOverlap="1">
                <wp:simplePos x="0" y="0"/>
                <wp:positionH relativeFrom="column">
                  <wp:posOffset>3585210</wp:posOffset>
                </wp:positionH>
                <wp:positionV relativeFrom="paragraph">
                  <wp:posOffset>1073150</wp:posOffset>
                </wp:positionV>
                <wp:extent cx="1883410" cy="152400"/>
                <wp:effectExtent l="635" t="1270" r="1905"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2D71" w:rsidRDefault="00592D71" w:rsidP="00592D71">
                            <w:pPr>
                              <w:kinsoku w:val="0"/>
                              <w:overflowPunct w:val="0"/>
                              <w:autoSpaceDE/>
                              <w:autoSpaceDN/>
                              <w:adjustRightInd/>
                              <w:spacing w:line="235" w:lineRule="exact"/>
                              <w:textAlignment w:val="baseline"/>
                              <w:rPr>
                                <w:sz w:val="26"/>
                                <w:szCs w:val="26"/>
                                <w:lang w:val="es-ES" w:eastAsia="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31" type="#_x0000_t202" style="position:absolute;margin-left:282.3pt;margin-top:84.5pt;width:148.3pt;height:12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" o:allowincell="f" stroked="f">
                <v:textbox inset="0,0,0,0">
                  <w:txbxContent>
                    <w:p w:rsidR="00592D71" w:rsidRDefault="00592D71" w:rsidP="00592D71">
                      <w:pPr>
                        <w:kinsoku w:val="0"/>
                        <w:overflowPunct w:val="0"/>
                        <w:autoSpaceDE/>
                        <w:autoSpaceDN/>
                        <w:adjustRightInd/>
                        <w:spacing w:line="235" w:lineRule="exact"/>
                        <w:textAlignment w:val="baseline"/>
                        <w:rPr>
                          <w:sz w:val="26"/>
                          <w:szCs w:val="26"/>
                          <w:lang w:val="es-ES" w:eastAsia="es-ES"/>
                        </w:rPr>
                      </w:pPr>
                    </w:p>
                  </w:txbxContent>
                </v:textbox>
              </v:shape>
            </w:pict>
          </mc:Fallback>
        </mc:AlternateContent>
      </w:r>
    </w:p>
    <w:p w:rsidR="00592D71" w:rsidRDefault="00592D71" w:rsidP="00592D71">
      <w:pPr>
        <w:kinsoku w:val="0"/>
        <w:overflowPunct w:val="0"/>
        <w:autoSpaceDE/>
        <w:autoSpaceDN/>
        <w:adjustRightInd/>
        <w:spacing w:before="5776" w:line="288" w:lineRule="exact"/>
        <w:textAlignment w:val="baseline"/>
        <w:rPr>
          <w:sz w:val="24"/>
          <w:szCs w:val="24"/>
        </w:rPr>
        <w:sectPr w:rsidR="00592D71">
          <w:type w:val="continuous"/>
          <w:pgSz w:w="12293" w:h="15720"/>
          <w:pgMar w:top="1640" w:right="1438" w:bottom="524" w:left="1540" w:header="720" w:footer="720" w:gutter="0"/>
          <w:cols w:space="720"/>
          <w:noEndnote/>
        </w:sectPr>
      </w:pPr>
    </w:p>
    <w:p w:rsidR="006667D4" w:rsidRDefault="006667D4" w:rsidP="00165941">
      <w:pPr>
        <w:tabs>
          <w:tab w:val="right" w:pos="2520"/>
        </w:tabs>
        <w:kinsoku w:val="0"/>
        <w:overflowPunct w:val="0"/>
        <w:autoSpaceDE/>
        <w:autoSpaceDN/>
        <w:adjustRightInd/>
        <w:spacing w:line="232" w:lineRule="exact"/>
        <w:textAlignment w:val="baseline"/>
      </w:pPr>
    </w:p>
    <w:sectPr w:rsidR="006667D4">
      <w:type w:val="continuous"/>
      <w:pgSz w:w="12293" w:h="15720"/>
      <w:pgMar w:top="1640" w:right="1911" w:bottom="524" w:left="786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EC48"/>
    <w:multiLevelType w:val="singleLevel"/>
    <w:tmpl w:val="1C1AC072"/>
    <w:lvl w:ilvl="0">
      <w:start w:val="1"/>
      <w:numFmt w:val="upperRoman"/>
      <w:lvlText w:val="%1.-"/>
      <w:lvlJc w:val="left"/>
      <w:pPr>
        <w:tabs>
          <w:tab w:val="num" w:pos="504"/>
        </w:tabs>
      </w:pPr>
      <w:rPr>
        <w:snapToGrid/>
        <w:sz w:val="26"/>
        <w:szCs w:val="26"/>
      </w:rPr>
    </w:lvl>
  </w:abstractNum>
  <w:abstractNum w:abstractNumId="1" w15:restartNumberingAfterBreak="0">
    <w:nsid w:val="0193B7C5"/>
    <w:multiLevelType w:val="singleLevel"/>
    <w:tmpl w:val="66A30283"/>
    <w:lvl w:ilvl="0">
      <w:start w:val="4"/>
      <w:numFmt w:val="decimal"/>
      <w:lvlText w:val="%1.-"/>
      <w:lvlJc w:val="left"/>
      <w:pPr>
        <w:tabs>
          <w:tab w:val="num" w:pos="360"/>
        </w:tabs>
      </w:pPr>
      <w:rPr>
        <w:b/>
        <w:bCs/>
        <w:snapToGrid/>
        <w:sz w:val="26"/>
        <w:szCs w:val="26"/>
      </w:rPr>
    </w:lvl>
  </w:abstractNum>
  <w:abstractNum w:abstractNumId="2" w15:restartNumberingAfterBreak="0">
    <w:nsid w:val="025B1439"/>
    <w:multiLevelType w:val="singleLevel"/>
    <w:tmpl w:val="2164021C"/>
    <w:lvl w:ilvl="0">
      <w:start w:val="2"/>
      <w:numFmt w:val="lowerLetter"/>
      <w:lvlText w:val="%1.-"/>
      <w:lvlJc w:val="left"/>
      <w:pPr>
        <w:tabs>
          <w:tab w:val="num" w:pos="720"/>
        </w:tabs>
      </w:pPr>
      <w:rPr>
        <w:i/>
        <w:iCs/>
        <w:snapToGrid/>
        <w:sz w:val="26"/>
        <w:szCs w:val="26"/>
      </w:rPr>
    </w:lvl>
  </w:abstractNum>
  <w:abstractNum w:abstractNumId="3" w15:restartNumberingAfterBreak="0">
    <w:nsid w:val="05683297"/>
    <w:multiLevelType w:val="singleLevel"/>
    <w:tmpl w:val="705042E1"/>
    <w:lvl w:ilvl="0">
      <w:start w:val="1"/>
      <w:numFmt w:val="decimal"/>
      <w:lvlText w:val="%1.-"/>
      <w:lvlJc w:val="left"/>
      <w:pPr>
        <w:tabs>
          <w:tab w:val="num" w:pos="360"/>
        </w:tabs>
      </w:pPr>
      <w:rPr>
        <w:b/>
        <w:bCs/>
        <w:snapToGrid/>
        <w:sz w:val="26"/>
        <w:szCs w:val="26"/>
      </w:rPr>
    </w:lvl>
  </w:abstractNum>
  <w:abstractNum w:abstractNumId="4" w15:restartNumberingAfterBreak="0">
    <w:nsid w:val="05B14F85"/>
    <w:multiLevelType w:val="singleLevel"/>
    <w:tmpl w:val="503C4E94"/>
    <w:lvl w:ilvl="0">
      <w:start w:val="1"/>
      <w:numFmt w:val="decimal"/>
      <w:lvlText w:val="%1)"/>
      <w:lvlJc w:val="left"/>
      <w:pPr>
        <w:tabs>
          <w:tab w:val="num" w:pos="288"/>
        </w:tabs>
        <w:ind w:left="72"/>
      </w:pPr>
      <w:rPr>
        <w:i/>
        <w:iCs/>
        <w:snapToGrid/>
        <w:spacing w:val="-1"/>
        <w:sz w:val="26"/>
        <w:szCs w:val="26"/>
      </w:rPr>
    </w:lvl>
  </w:abstractNum>
  <w:abstractNum w:abstractNumId="5" w15:restartNumberingAfterBreak="0">
    <w:nsid w:val="06A7BBB7"/>
    <w:multiLevelType w:val="singleLevel"/>
    <w:tmpl w:val="14873D26"/>
    <w:lvl w:ilvl="0">
      <w:numFmt w:val="bullet"/>
      <w:lvlText w:val="o"/>
      <w:lvlJc w:val="left"/>
      <w:pPr>
        <w:tabs>
          <w:tab w:val="num" w:pos="864"/>
        </w:tabs>
        <w:ind w:left="576"/>
      </w:pPr>
      <w:rPr>
        <w:rFonts w:ascii="Courier New" w:hAnsi="Courier New" w:cs="Courier New"/>
        <w:snapToGrid/>
        <w:sz w:val="26"/>
        <w:szCs w:val="26"/>
      </w:rPr>
    </w:lvl>
  </w:abstractNum>
  <w:num w:numId="1">
    <w:abstractNumId w:val="3"/>
  </w:num>
  <w:num w:numId="2">
    <w:abstractNumId w:val="2"/>
  </w:num>
  <w:num w:numId="3">
    <w:abstractNumId w:val="1"/>
  </w:num>
  <w:num w:numId="4">
    <w:abstractNumId w:val="4"/>
  </w:num>
  <w:num w:numId="5">
    <w:abstractNumId w:val="5"/>
  </w:num>
  <w:num w:numId="6">
    <w:abstractNumId w:val="5"/>
    <w:lvlOverride w:ilvl="0">
      <w:lvl w:ilvl="0">
        <w:numFmt w:val="bullet"/>
        <w:lvlText w:val="o"/>
        <w:lvlJc w:val="left"/>
        <w:pPr>
          <w:tabs>
            <w:tab w:val="num" w:pos="792"/>
          </w:tabs>
          <w:ind w:left="576"/>
        </w:pPr>
        <w:rPr>
          <w:rFonts w:ascii="Courier New" w:hAnsi="Courier New" w:cs="Courier New"/>
          <w:i/>
          <w:iCs/>
          <w:snapToGrid/>
          <w:sz w:val="26"/>
          <w:szCs w:val="26"/>
        </w:rPr>
      </w:lvl>
    </w:lvlOverride>
  </w:num>
  <w:num w:numId="7">
    <w:abstractNumId w:val="0"/>
  </w:num>
  <w:num w:numId="8">
    <w:abstractNumId w:val="0"/>
    <w:lvlOverride w:ilvl="0">
      <w:lvl w:ilvl="0">
        <w:numFmt w:val="upperRoman"/>
        <w:lvlText w:val="%1.-"/>
        <w:lvlJc w:val="left"/>
        <w:pPr>
          <w:tabs>
            <w:tab w:val="num" w:pos="720"/>
          </w:tabs>
        </w:pPr>
        <w:rPr>
          <w:snapToGrid/>
          <w:sz w:val="26"/>
          <w:szCs w:val="2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71"/>
    <w:rsid w:val="00165941"/>
    <w:rsid w:val="004D6970"/>
    <w:rsid w:val="00592D71"/>
    <w:rsid w:val="006667D4"/>
    <w:rsid w:val="006A5040"/>
    <w:rsid w:val="00C068B8"/>
    <w:rsid w:val="00E532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E27259-108C-4B9E-9F5B-9A87AF03C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92D71"/>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uiPriority w:val="39"/>
    <w:rsid w:val="00C068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8170</Words>
  <Characters>44936</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5</cp:revision>
  <dcterms:created xsi:type="dcterms:W3CDTF">2016-04-28T16:22:00Z</dcterms:created>
  <dcterms:modified xsi:type="dcterms:W3CDTF">2019-07-18T15:48:00Z</dcterms:modified>
</cp:coreProperties>
</file>